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rPr>
          <w:rFonts w:hint="eastAsia"/>
          <w:lang w:val="en-US" w:eastAsia="zh-CN"/>
        </w:rPr>
      </w:pPr>
    </w:p>
    <w:p>
      <w:pPr>
        <w:rPr>
          <w:rFonts w:hint="eastAsia"/>
          <w:lang w:val="en-US" w:eastAsia="zh-CN"/>
        </w:rPr>
      </w:pPr>
    </w:p>
    <w:p>
      <w:pPr>
        <w:spacing w:line="360" w:lineRule="auto"/>
        <w:jc w:val="both"/>
        <w:rPr>
          <w:rFonts w:hint="eastAsia" w:ascii="宋体" w:hAnsi="宋体" w:eastAsia="宋体" w:cs="宋体"/>
          <w:b/>
          <w:bCs/>
          <w:color w:val="auto"/>
          <w:sz w:val="52"/>
          <w:szCs w:val="52"/>
          <w:highlight w:val="none"/>
          <w:lang w:val="en-US" w:eastAsia="zh-CN"/>
        </w:rPr>
      </w:pPr>
    </w:p>
    <w:p>
      <w:pPr>
        <w:keepNext w:val="0"/>
        <w:keepLines w:val="0"/>
        <w:widowControl/>
        <w:suppressLineNumbers w:val="0"/>
        <w:jc w:val="left"/>
        <w:rPr>
          <w:color w:val="auto"/>
          <w:highlight w:val="none"/>
        </w:rPr>
      </w:pPr>
    </w:p>
    <w:p>
      <w:pPr>
        <w:spacing w:line="360" w:lineRule="auto"/>
        <w:jc w:val="center"/>
        <w:rPr>
          <w:rFonts w:hint="eastAsia" w:ascii="Times New Roman" w:hAnsi="Times New Roman" w:eastAsia="宋体" w:cs="Times New Roman"/>
          <w:b/>
          <w:bCs/>
          <w:color w:val="auto"/>
          <w:kern w:val="2"/>
          <w:sz w:val="36"/>
          <w:szCs w:val="36"/>
          <w:highlight w:val="none"/>
          <w:lang w:val="en-US" w:eastAsia="zh-CN" w:bidi="ar-SA"/>
        </w:rPr>
      </w:pPr>
      <w:r>
        <w:rPr>
          <w:rFonts w:hint="eastAsia" w:ascii="Times New Roman" w:hAnsi="Times New Roman" w:eastAsia="宋体" w:cs="Times New Roman"/>
          <w:b/>
          <w:bCs/>
          <w:color w:val="auto"/>
          <w:kern w:val="2"/>
          <w:sz w:val="36"/>
          <w:szCs w:val="36"/>
          <w:highlight w:val="none"/>
          <w:lang w:val="en-US" w:eastAsia="zh-CN" w:bidi="ar-SA"/>
        </w:rPr>
        <w:t>沈阳市水务局2024年城市公共供水水质抽样检测项目</w:t>
      </w:r>
    </w:p>
    <w:p>
      <w:pPr>
        <w:spacing w:line="360" w:lineRule="auto"/>
        <w:jc w:val="center"/>
        <w:rPr>
          <w:rFonts w:hint="eastAsia" w:ascii="宋体" w:hAnsi="宋体" w:eastAsia="宋体" w:cs="宋体"/>
          <w:b/>
          <w:bCs/>
          <w:color w:val="auto"/>
          <w:sz w:val="36"/>
          <w:szCs w:val="36"/>
          <w:highlight w:val="none"/>
          <w:lang w:val="en-US" w:eastAsia="zh-CN"/>
        </w:rPr>
      </w:pPr>
      <w:r>
        <w:rPr>
          <w:rFonts w:hint="eastAsia" w:ascii="Times New Roman" w:hAnsi="Times New Roman" w:eastAsia="宋体" w:cs="Times New Roman"/>
          <w:b/>
          <w:bCs/>
          <w:color w:val="auto"/>
          <w:kern w:val="2"/>
          <w:sz w:val="36"/>
          <w:szCs w:val="36"/>
          <w:highlight w:val="none"/>
          <w:lang w:val="en-US" w:eastAsia="zh-CN" w:bidi="ar-SA"/>
        </w:rPr>
        <w:t>第一季度水质分析报告</w:t>
      </w:r>
    </w:p>
    <w:p>
      <w:pPr>
        <w:spacing w:line="360" w:lineRule="auto"/>
        <w:jc w:val="center"/>
        <w:rPr>
          <w:rFonts w:hint="eastAsia" w:ascii="宋体" w:hAnsi="宋体" w:eastAsia="宋体" w:cs="宋体"/>
          <w:b/>
          <w:bCs/>
          <w:color w:val="auto"/>
          <w:sz w:val="44"/>
          <w:szCs w:val="44"/>
          <w:highlight w:val="none"/>
          <w:lang w:val="en-US" w:eastAsia="zh-CN"/>
        </w:rPr>
      </w:pPr>
    </w:p>
    <w:p>
      <w:pPr>
        <w:pStyle w:val="8"/>
        <w:rPr>
          <w:rFonts w:hint="eastAsia" w:ascii="宋体" w:hAnsi="宋体" w:eastAsia="宋体" w:cs="宋体"/>
          <w:b/>
          <w:bCs/>
          <w:color w:val="auto"/>
          <w:sz w:val="44"/>
          <w:szCs w:val="44"/>
          <w:highlight w:val="none"/>
          <w:lang w:val="en-US" w:eastAsia="zh-CN"/>
        </w:rPr>
      </w:pPr>
    </w:p>
    <w:p>
      <w:pPr>
        <w:pStyle w:val="9"/>
        <w:tabs>
          <w:tab w:val="left" w:pos="5511"/>
        </w:tabs>
        <w:jc w:val="left"/>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ab/>
      </w:r>
    </w:p>
    <w:p>
      <w:pPr>
        <w:pStyle w:val="9"/>
        <w:rPr>
          <w:rFonts w:hint="eastAsia" w:ascii="宋体" w:hAnsi="宋体" w:eastAsia="宋体" w:cs="宋体"/>
          <w:b/>
          <w:bCs/>
          <w:color w:val="auto"/>
          <w:sz w:val="44"/>
          <w:szCs w:val="44"/>
          <w:highlight w:val="none"/>
          <w:lang w:val="en-US" w:eastAsia="zh-CN"/>
        </w:rPr>
      </w:pPr>
    </w:p>
    <w:p>
      <w:pPr>
        <w:pStyle w:val="9"/>
        <w:ind w:left="0" w:leftChars="0" w:firstLine="0" w:firstLineChars="0"/>
        <w:jc w:val="both"/>
        <w:rPr>
          <w:rFonts w:hint="eastAsia" w:ascii="宋体" w:hAnsi="宋体" w:eastAsia="宋体" w:cs="宋体"/>
          <w:b/>
          <w:bCs/>
          <w:color w:val="auto"/>
          <w:sz w:val="44"/>
          <w:szCs w:val="44"/>
          <w:highlight w:val="none"/>
          <w:lang w:val="en-US" w:eastAsia="zh-CN"/>
        </w:rPr>
      </w:pPr>
    </w:p>
    <w:p>
      <w:pPr>
        <w:rPr>
          <w:rFonts w:hint="eastAsia" w:ascii="宋体" w:hAnsi="宋体" w:eastAsia="宋体" w:cs="宋体"/>
          <w:b/>
          <w:bCs/>
          <w:color w:val="auto"/>
          <w:sz w:val="44"/>
          <w:szCs w:val="44"/>
          <w:highlight w:val="none"/>
          <w:lang w:val="en-US" w:eastAsia="zh-CN"/>
        </w:rPr>
      </w:pPr>
    </w:p>
    <w:p>
      <w:pPr>
        <w:pStyle w:val="8"/>
        <w:rPr>
          <w:rFonts w:hint="eastAsia" w:ascii="宋体" w:hAnsi="宋体" w:eastAsia="宋体" w:cs="宋体"/>
          <w:b/>
          <w:bCs/>
          <w:color w:val="auto"/>
          <w:sz w:val="44"/>
          <w:szCs w:val="44"/>
          <w:highlight w:val="none"/>
          <w:lang w:val="en-US" w:eastAsia="zh-CN"/>
        </w:rPr>
      </w:pPr>
    </w:p>
    <w:p>
      <w:pPr>
        <w:pStyle w:val="9"/>
        <w:rPr>
          <w:rFonts w:hint="eastAsia" w:ascii="宋体" w:hAnsi="宋体" w:eastAsia="宋体" w:cs="宋体"/>
          <w:b/>
          <w:bCs/>
          <w:color w:val="auto"/>
          <w:sz w:val="44"/>
          <w:szCs w:val="44"/>
          <w:highlight w:val="none"/>
          <w:lang w:val="en-US" w:eastAsia="zh-CN"/>
        </w:rPr>
      </w:pPr>
    </w:p>
    <w:p>
      <w:pPr>
        <w:rPr>
          <w:rFonts w:hint="eastAsia"/>
          <w:lang w:val="en-US" w:eastAsia="zh-CN"/>
        </w:rPr>
      </w:pPr>
    </w:p>
    <w:p>
      <w:pPr>
        <w:pStyle w:val="9"/>
        <w:ind w:left="0" w:leftChars="0" w:firstLine="0" w:firstLineChars="0"/>
        <w:jc w:val="both"/>
        <w:rPr>
          <w:rFonts w:hint="eastAsia" w:ascii="宋体" w:hAnsi="宋体" w:eastAsia="宋体" w:cs="宋体"/>
          <w:b w:val="0"/>
          <w:bCs w:val="0"/>
          <w:color w:val="auto"/>
          <w:sz w:val="36"/>
          <w:szCs w:val="36"/>
          <w:highlight w:val="none"/>
          <w:lang w:val="en-US" w:eastAsia="zh-CN"/>
        </w:rPr>
      </w:pPr>
    </w:p>
    <w:p>
      <w:pPr>
        <w:pStyle w:val="13"/>
        <w:jc w:val="center"/>
        <w:rPr>
          <w:rFonts w:hint="default" w:ascii="Times New Roman" w:hAnsi="Times New Roman" w:eastAsia="宋体" w:cs="Times New Roman"/>
          <w:b/>
          <w:bCs/>
          <w:color w:val="auto"/>
          <w:sz w:val="30"/>
          <w:szCs w:val="30"/>
          <w:highlight w:val="none"/>
          <w:lang w:val="en-US" w:eastAsia="zh-CN"/>
        </w:rPr>
      </w:pPr>
      <w:r>
        <w:rPr>
          <w:rFonts w:hint="eastAsia" w:ascii="Times New Roman" w:hAnsi="Times New Roman" w:cs="Times New Roman"/>
          <w:b/>
          <w:bCs/>
          <w:color w:val="000000"/>
          <w:sz w:val="30"/>
          <w:szCs w:val="30"/>
          <w:highlight w:val="none"/>
          <w:lang w:val="en-US" w:eastAsia="zh-CN"/>
        </w:rPr>
        <w:t>编制单位：</w:t>
      </w:r>
      <w:r>
        <w:rPr>
          <w:rFonts w:hint="default" w:ascii="Times New Roman" w:hAnsi="Times New Roman" w:cs="Times New Roman"/>
          <w:b/>
          <w:bCs/>
          <w:color w:val="000000"/>
          <w:sz w:val="30"/>
          <w:szCs w:val="30"/>
          <w:highlight w:val="none"/>
        </w:rPr>
        <w:t>沈阳市中正</w:t>
      </w:r>
      <w:r>
        <w:rPr>
          <w:rFonts w:hint="default" w:ascii="Times New Roman" w:hAnsi="Times New Roman" w:eastAsia="宋体" w:cs="Times New Roman"/>
          <w:b/>
          <w:bCs/>
          <w:color w:val="000000"/>
          <w:sz w:val="30"/>
          <w:szCs w:val="30"/>
          <w:highlight w:val="none"/>
          <w:lang w:eastAsia="zh-CN"/>
        </w:rPr>
        <w:t>检测技术有限公司</w:t>
      </w:r>
    </w:p>
    <w:p>
      <w:pPr>
        <w:pStyle w:val="9"/>
        <w:ind w:left="0" w:leftChars="0" w:firstLine="0" w:firstLineChars="0"/>
        <w:jc w:val="center"/>
        <w:rPr>
          <w:rFonts w:hint="default" w:ascii="Times New Roman" w:hAnsi="Times New Roman" w:eastAsia="宋体" w:cs="Times New Roman"/>
          <w:b/>
          <w:bCs/>
          <w:color w:val="auto"/>
          <w:sz w:val="30"/>
          <w:szCs w:val="30"/>
          <w:highlight w:val="none"/>
          <w:lang w:val="en-US" w:eastAsia="zh-CN"/>
        </w:rPr>
      </w:pPr>
      <w:r>
        <w:rPr>
          <w:rFonts w:hint="default" w:ascii="Times New Roman" w:hAnsi="Times New Roman" w:eastAsia="宋体" w:cs="Times New Roman"/>
          <w:b/>
          <w:bCs/>
          <w:color w:val="auto"/>
          <w:sz w:val="30"/>
          <w:szCs w:val="30"/>
          <w:highlight w:val="none"/>
          <w:lang w:val="en-US" w:eastAsia="zh-CN"/>
        </w:rPr>
        <w:t>202</w:t>
      </w:r>
      <w:r>
        <w:rPr>
          <w:rFonts w:hint="eastAsia" w:ascii="Times New Roman" w:eastAsia="宋体" w:cs="Times New Roman"/>
          <w:b/>
          <w:bCs/>
          <w:color w:val="auto"/>
          <w:sz w:val="30"/>
          <w:szCs w:val="30"/>
          <w:highlight w:val="none"/>
          <w:lang w:val="en-US" w:eastAsia="zh-CN"/>
        </w:rPr>
        <w:t>4</w:t>
      </w:r>
      <w:r>
        <w:rPr>
          <w:rFonts w:hint="default" w:ascii="Times New Roman" w:hAnsi="Times New Roman" w:eastAsia="宋体" w:cs="Times New Roman"/>
          <w:b/>
          <w:bCs/>
          <w:color w:val="auto"/>
          <w:sz w:val="30"/>
          <w:szCs w:val="30"/>
          <w:highlight w:val="none"/>
          <w:lang w:val="en-US" w:eastAsia="zh-CN"/>
        </w:rPr>
        <w:t>年</w:t>
      </w:r>
      <w:r>
        <w:rPr>
          <w:rFonts w:hint="eastAsia" w:ascii="Times New Roman" w:eastAsia="宋体" w:cs="Times New Roman"/>
          <w:b/>
          <w:bCs/>
          <w:color w:val="auto"/>
          <w:sz w:val="30"/>
          <w:szCs w:val="30"/>
          <w:highlight w:val="none"/>
          <w:lang w:val="en-US" w:eastAsia="zh-CN"/>
        </w:rPr>
        <w:t>03</w:t>
      </w:r>
      <w:r>
        <w:rPr>
          <w:rFonts w:hint="default" w:ascii="Times New Roman" w:hAnsi="Times New Roman" w:eastAsia="宋体" w:cs="Times New Roman"/>
          <w:b/>
          <w:bCs/>
          <w:color w:val="auto"/>
          <w:sz w:val="30"/>
          <w:szCs w:val="30"/>
          <w:highlight w:val="none"/>
          <w:lang w:val="en-US" w:eastAsia="zh-CN"/>
        </w:rPr>
        <w:t>月</w:t>
      </w:r>
      <w:r>
        <w:rPr>
          <w:rFonts w:hint="eastAsia" w:ascii="Times New Roman" w:eastAsia="宋体" w:cs="Times New Roman"/>
          <w:b/>
          <w:bCs/>
          <w:color w:val="auto"/>
          <w:sz w:val="30"/>
          <w:szCs w:val="30"/>
          <w:highlight w:val="none"/>
          <w:lang w:val="en-US" w:eastAsia="zh-CN"/>
        </w:rPr>
        <w:t>31日</w:t>
      </w:r>
    </w:p>
    <w:p>
      <w:pPr>
        <w:rPr>
          <w:rFonts w:hint="default" w:ascii="Times New Roman" w:hAnsi="Times New Roman" w:eastAsia="宋体" w:cs="Times New Roman"/>
          <w:b/>
          <w:bCs/>
          <w:color w:val="auto"/>
          <w:sz w:val="30"/>
          <w:szCs w:val="30"/>
          <w:highlight w:val="none"/>
          <w:lang w:val="en-US" w:eastAsia="zh-CN"/>
        </w:rPr>
      </w:pPr>
    </w:p>
    <w:p>
      <w:pPr>
        <w:pStyle w:val="8"/>
        <w:rPr>
          <w:rFonts w:hint="default" w:ascii="Times New Roman" w:hAnsi="Times New Roman" w:eastAsia="宋体" w:cs="Times New Roman"/>
          <w:b/>
          <w:bCs/>
          <w:color w:val="auto"/>
          <w:sz w:val="30"/>
          <w:szCs w:val="30"/>
          <w:highlight w:val="none"/>
          <w:lang w:val="en-US" w:eastAsia="zh-CN"/>
        </w:rPr>
      </w:pPr>
      <w:bookmarkStart w:id="0" w:name="_GoBack"/>
      <w:bookmarkEnd w:id="0"/>
    </w:p>
    <w:p>
      <w:pPr>
        <w:pStyle w:val="9"/>
        <w:rPr>
          <w:rFonts w:hint="default" w:ascii="Times New Roman" w:hAnsi="Times New Roman" w:eastAsia="宋体" w:cs="Times New Roman"/>
          <w:b/>
          <w:bCs/>
          <w:color w:val="auto"/>
          <w:sz w:val="30"/>
          <w:szCs w:val="30"/>
          <w:highlight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textAlignment w:val="auto"/>
        <w:outlineLvl w:val="0"/>
        <w:rPr>
          <w:rFonts w:hint="eastAsia" w:ascii="Times New Roman" w:hAnsi="Times New Roman" w:eastAsia="宋体" w:cs="Times New Roman"/>
          <w:b/>
          <w:bCs/>
          <w:color w:val="auto"/>
          <w:sz w:val="30"/>
          <w:szCs w:val="30"/>
          <w:highlight w:val="none"/>
          <w:lang w:val="en-US" w:eastAsia="zh-CN"/>
        </w:rPr>
        <w:sectPr>
          <w:head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numPr>
          <w:ilvl w:val="0"/>
          <w:numId w:val="1"/>
        </w:numPr>
        <w:kinsoku/>
        <w:wordWrap/>
        <w:overflowPunct/>
        <w:topLinePunct w:val="0"/>
        <w:autoSpaceDE/>
        <w:autoSpaceDN/>
        <w:bidi w:val="0"/>
        <w:adjustRightInd/>
        <w:snapToGrid/>
        <w:textAlignment w:val="auto"/>
        <w:outlineLvl w:val="0"/>
        <w:rPr>
          <w:rFonts w:hint="eastAsia" w:ascii="Times New Roman" w:hAnsi="Times New Roman" w:eastAsia="宋体" w:cs="Times New Roman"/>
          <w:b/>
          <w:bCs/>
          <w:color w:val="auto"/>
          <w:sz w:val="30"/>
          <w:szCs w:val="30"/>
          <w:highlight w:val="none"/>
          <w:lang w:val="en-US" w:eastAsia="zh-CN"/>
        </w:rPr>
      </w:pPr>
      <w:r>
        <w:rPr>
          <w:rFonts w:hint="eastAsia" w:ascii="Times New Roman" w:hAnsi="Times New Roman" w:eastAsia="宋体" w:cs="Times New Roman"/>
          <w:b/>
          <w:bCs/>
          <w:color w:val="auto"/>
          <w:sz w:val="30"/>
          <w:szCs w:val="30"/>
          <w:highlight w:val="none"/>
          <w:lang w:val="en-US" w:eastAsia="zh-CN"/>
        </w:rPr>
        <w:t>前言</w:t>
      </w:r>
    </w:p>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600" w:firstLineChars="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城市公共供水的水质直接关系到市民的身体健康，为保障城市公共供水的水质安全，沈阳市已连续多年开展城市公共供水水质抽样检测工作，对全市供水企业出厂水和管网水水质进行检测，及时发现水质波动变化和异常情况，确保城市居民喝上放心饮用水。按照2024年度沈阳市水务局关于对城市公共供水水质进行抽检的通知要求，</w:t>
      </w:r>
      <w:r>
        <w:rPr>
          <w:rFonts w:hint="default" w:ascii="Times New Roman" w:hAnsi="Times New Roman" w:cs="Times New Roman"/>
          <w:color w:val="000000"/>
          <w:sz w:val="24"/>
          <w:szCs w:val="24"/>
          <w:highlight w:val="none"/>
        </w:rPr>
        <w:t>沈阳市中正</w:t>
      </w:r>
      <w:r>
        <w:rPr>
          <w:rFonts w:hint="default" w:ascii="Times New Roman" w:hAnsi="Times New Roman" w:eastAsia="宋体" w:cs="Times New Roman"/>
          <w:color w:val="000000"/>
          <w:sz w:val="24"/>
          <w:szCs w:val="24"/>
          <w:highlight w:val="none"/>
          <w:lang w:eastAsia="zh-CN"/>
        </w:rPr>
        <w:t>检测技术有限</w:t>
      </w:r>
      <w:r>
        <w:rPr>
          <w:rFonts w:hint="default" w:ascii="Times New Roman" w:hAnsi="Times New Roman" w:cs="Times New Roman"/>
          <w:color w:val="000000"/>
          <w:sz w:val="24"/>
          <w:szCs w:val="24"/>
          <w:highlight w:val="none"/>
          <w:lang w:eastAsia="zh-CN"/>
        </w:rPr>
        <w:t>公司于</w:t>
      </w:r>
      <w:r>
        <w:rPr>
          <w:rFonts w:hint="eastAsia" w:ascii="Times New Roman" w:hAnsi="Times New Roman" w:cs="Times New Roman"/>
          <w:color w:val="000000"/>
          <w:sz w:val="24"/>
          <w:szCs w:val="24"/>
          <w:highlight w:val="none"/>
          <w:lang w:eastAsia="zh-CN"/>
        </w:rPr>
        <w:t>2024年03月</w:t>
      </w:r>
      <w:r>
        <w:rPr>
          <w:rFonts w:hint="eastAsia" w:ascii="Times New Roman" w:hAnsi="Times New Roman" w:cs="Times New Roman"/>
          <w:color w:val="000000"/>
          <w:sz w:val="24"/>
          <w:szCs w:val="24"/>
          <w:highlight w:val="none"/>
          <w:lang w:val="en-US" w:eastAsia="zh-CN"/>
        </w:rPr>
        <w:t>开展了</w:t>
      </w:r>
      <w:r>
        <w:rPr>
          <w:rFonts w:hint="eastAsia" w:ascii="Times New Roman" w:hAnsi="Times New Roman" w:cs="Times New Roman"/>
          <w:color w:val="000000"/>
          <w:sz w:val="24"/>
          <w:szCs w:val="24"/>
          <w:highlight w:val="none"/>
          <w:lang w:eastAsia="zh-CN"/>
        </w:rPr>
        <w:t>沈阳市水务局2024年城市公共供水水质抽样检测项目</w:t>
      </w:r>
      <w:r>
        <w:rPr>
          <w:rFonts w:hint="eastAsia" w:ascii="Times New Roman" w:hAnsi="Times New Roman" w:cs="Times New Roman"/>
          <w:color w:val="000000"/>
          <w:sz w:val="24"/>
          <w:szCs w:val="24"/>
          <w:highlight w:val="none"/>
          <w:lang w:val="en-US" w:eastAsia="zh-CN"/>
        </w:rPr>
        <w:t>的第一季度检测工作，根据检测数据、相关标准和技术规范编制本报告。</w:t>
      </w:r>
    </w:p>
    <w:p>
      <w:pPr>
        <w:pStyle w:val="8"/>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0" w:leftChars="0" w:firstLine="0" w:firstLineChars="0"/>
        <w:textAlignment w:val="auto"/>
        <w:outlineLvl w:val="0"/>
        <w:rPr>
          <w:rFonts w:hint="eastAsia" w:ascii="Times New Roman" w:hAnsi="Times New Roman" w:eastAsia="宋体" w:cs="Times New Roman"/>
          <w:b/>
          <w:bCs/>
          <w:color w:val="auto"/>
          <w:sz w:val="30"/>
          <w:szCs w:val="30"/>
          <w:highlight w:val="none"/>
          <w:lang w:val="en-US" w:eastAsia="zh-CN"/>
        </w:rPr>
      </w:pPr>
      <w:r>
        <w:rPr>
          <w:rFonts w:hint="eastAsia" w:ascii="Times New Roman" w:hAnsi="Times New Roman" w:eastAsia="宋体" w:cs="Times New Roman"/>
          <w:b/>
          <w:bCs/>
          <w:color w:val="auto"/>
          <w:sz w:val="30"/>
          <w:szCs w:val="30"/>
          <w:highlight w:val="none"/>
          <w:lang w:val="en-US" w:eastAsia="zh-CN"/>
        </w:rPr>
        <w:t>检测内容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1"/>
        <w:rPr>
          <w:rFonts w:hint="eastAsia" w:ascii="Times New Roman" w:hAnsi="Times New Roman" w:eastAsia="宋体" w:cs="Times New Roman"/>
          <w:b/>
          <w:bCs/>
          <w:kern w:val="0"/>
          <w:sz w:val="28"/>
          <w:szCs w:val="28"/>
          <w:highlight w:val="none"/>
          <w:lang w:val="en-US" w:eastAsia="zh-CN"/>
        </w:rPr>
      </w:pPr>
      <w:r>
        <w:rPr>
          <w:rFonts w:hint="eastAsia" w:ascii="Times New Roman" w:hAnsi="Times New Roman" w:eastAsia="宋体" w:cs="Times New Roman"/>
          <w:b/>
          <w:bCs/>
          <w:kern w:val="0"/>
          <w:sz w:val="28"/>
          <w:szCs w:val="28"/>
          <w:highlight w:val="none"/>
          <w:lang w:val="en-US" w:eastAsia="zh-CN"/>
        </w:rPr>
        <w:t>1、</w:t>
      </w:r>
      <w:r>
        <w:rPr>
          <w:rFonts w:hint="default" w:ascii="Times New Roman" w:hAnsi="Times New Roman" w:eastAsia="宋体" w:cs="Times New Roman"/>
          <w:b/>
          <w:bCs/>
          <w:kern w:val="0"/>
          <w:sz w:val="28"/>
          <w:szCs w:val="28"/>
          <w:highlight w:val="none"/>
        </w:rPr>
        <w:t>检测项目及频次</w:t>
      </w:r>
    </w:p>
    <w:p>
      <w:pPr>
        <w:pStyle w:val="9"/>
        <w:numPr>
          <w:ilvl w:val="0"/>
          <w:numId w:val="0"/>
        </w:numPr>
        <w:spacing w:line="360" w:lineRule="auto"/>
        <w:ind w:leftChars="0" w:firstLine="480" w:firstLineChars="200"/>
        <w:jc w:val="both"/>
        <w:rPr>
          <w:rFonts w:hint="default" w:ascii="Times New Roman" w:hAnsi="Times New Roman" w:eastAsia="宋体" w:cs="Times New Roman"/>
          <w:b w:val="0"/>
          <w:bCs w:val="0"/>
          <w:color w:val="000000"/>
          <w:sz w:val="24"/>
          <w:szCs w:val="24"/>
          <w:highlight w:val="none"/>
          <w:lang w:val="en-US" w:eastAsia="zh-CN" w:bidi="ar"/>
        </w:rPr>
      </w:pPr>
      <w:r>
        <w:rPr>
          <w:rFonts w:hint="default" w:ascii="Times New Roman" w:hAnsi="Times New Roman" w:eastAsia="宋体" w:cs="Times New Roman"/>
          <w:b w:val="0"/>
          <w:bCs w:val="0"/>
          <w:color w:val="auto"/>
          <w:sz w:val="24"/>
          <w:szCs w:val="24"/>
          <w:highlight w:val="none"/>
          <w:lang w:val="en-US" w:eastAsia="zh-CN"/>
        </w:rPr>
        <w:t>按照</w:t>
      </w:r>
      <w:r>
        <w:rPr>
          <w:rFonts w:hint="default" w:ascii="Times New Roman" w:hAnsi="Times New Roman" w:eastAsia="宋体" w:cs="Times New Roman"/>
          <w:b w:val="0"/>
          <w:bCs w:val="0"/>
          <w:color w:val="000000"/>
          <w:sz w:val="24"/>
          <w:szCs w:val="24"/>
          <w:highlight w:val="none"/>
          <w:lang w:eastAsia="zh-CN"/>
        </w:rPr>
        <w:t>沈阳市水务局2024年城市公共供水水质抽样检测项目</w:t>
      </w:r>
      <w:r>
        <w:rPr>
          <w:rFonts w:hint="default" w:ascii="Times New Roman" w:hAnsi="Times New Roman" w:eastAsia="宋体" w:cs="Times New Roman"/>
          <w:b w:val="0"/>
          <w:bCs w:val="0"/>
          <w:color w:val="000000"/>
          <w:sz w:val="24"/>
          <w:szCs w:val="24"/>
          <w:highlight w:val="none"/>
          <w:lang w:val="en-US" w:eastAsia="zh-CN"/>
        </w:rPr>
        <w:t>第一季度检测计划，本季度</w:t>
      </w:r>
      <w:r>
        <w:rPr>
          <w:rFonts w:hint="default" w:ascii="Times New Roman" w:hAnsi="Times New Roman" w:eastAsia="宋体" w:cs="Times New Roman"/>
          <w:b w:val="0"/>
          <w:bCs w:val="0"/>
          <w:color w:val="000000"/>
          <w:sz w:val="24"/>
          <w:szCs w:val="24"/>
          <w:highlight w:val="none"/>
          <w:lang w:val="en-US" w:eastAsia="zh-CN" w:bidi="ar"/>
        </w:rPr>
        <w:t>随机抽取的20处城市供水管网末梢水进行43项指标检测中工作</w:t>
      </w:r>
      <w:r>
        <w:rPr>
          <w:rFonts w:hint="eastAsia" w:ascii="Times New Roman" w:hAnsi="Times New Roman" w:eastAsia="宋体" w:cs="Times New Roman"/>
          <w:b w:val="0"/>
          <w:bCs w:val="0"/>
          <w:color w:val="000000"/>
          <w:sz w:val="24"/>
          <w:szCs w:val="24"/>
          <w:highlight w:val="none"/>
          <w:lang w:val="en-US" w:eastAsia="zh-CN" w:bidi="ar"/>
        </w:rPr>
        <w:t>，具体情况详见表1.</w:t>
      </w:r>
    </w:p>
    <w:tbl>
      <w:tblPr>
        <w:tblStyle w:val="15"/>
        <w:tblW w:w="4987" w:type="pct"/>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2282"/>
        <w:gridCol w:w="4679"/>
        <w:gridCol w:w="2280"/>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50" w:type="pct"/>
            <w:tcBorders>
              <w:tl2br w:val="nil"/>
              <w:tr2bl w:val="nil"/>
            </w:tcBorders>
            <w:noWrap w:val="0"/>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序号</w:t>
            </w:r>
          </w:p>
        </w:tc>
        <w:tc>
          <w:tcPr>
            <w:tcW w:w="1148" w:type="pct"/>
            <w:tcBorders>
              <w:tl2br w:val="nil"/>
              <w:tr2bl w:val="nil"/>
            </w:tcBorders>
            <w:noWrap w:val="0"/>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采样点位</w:t>
            </w:r>
          </w:p>
        </w:tc>
        <w:tc>
          <w:tcPr>
            <w:tcW w:w="2354" w:type="pct"/>
            <w:tcBorders>
              <w:tl2br w:val="nil"/>
              <w:tr2bl w:val="nil"/>
            </w:tcBorders>
            <w:noWrap w:val="0"/>
            <w:vAlign w:val="center"/>
          </w:tcPr>
          <w:p>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color w:val="auto"/>
                <w:sz w:val="21"/>
                <w:szCs w:val="21"/>
                <w:highlight w:val="none"/>
              </w:rPr>
              <w:t>检测项目</w:t>
            </w:r>
          </w:p>
        </w:tc>
        <w:tc>
          <w:tcPr>
            <w:tcW w:w="1147" w:type="pct"/>
            <w:tcBorders>
              <w:tl2br w:val="nil"/>
              <w:tr2bl w:val="nil"/>
            </w:tcBorders>
            <w:noWrap w:val="0"/>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检测频次</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0" w:type="pct"/>
            <w:tcBorders>
              <w:tl2br w:val="nil"/>
              <w:tr2bl w:val="nil"/>
            </w:tcBorders>
            <w:noWrap w:val="0"/>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c>
          <w:tcPr>
            <w:tcW w:w="1148" w:type="pct"/>
            <w:tcBorders>
              <w:tl2br w:val="nil"/>
              <w:tr2bl w:val="nil"/>
            </w:tcBorders>
            <w:noWrap w:val="0"/>
            <w:vAlign w:val="center"/>
          </w:tcPr>
          <w:p>
            <w:pPr>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eastAsia="宋体" w:cs="Times New Roman"/>
                <w:sz w:val="21"/>
                <w:szCs w:val="21"/>
                <w:highlight w:val="none"/>
                <w:lang w:eastAsia="zh-CN"/>
              </w:rPr>
              <w:t>北海宝马泵站</w:t>
            </w:r>
          </w:p>
        </w:tc>
        <w:tc>
          <w:tcPr>
            <w:tcW w:w="2354" w:type="pct"/>
            <w:vMerge w:val="restar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r>
              <w:rPr>
                <w:rFonts w:hint="default" w:ascii="Times New Roman" w:hAnsi="Times New Roman" w:eastAsia="宋体" w:cs="Times New Roman"/>
                <w:color w:val="auto"/>
                <w:sz w:val="21"/>
                <w:szCs w:val="21"/>
                <w:highlight w:val="none"/>
              </w:rPr>
              <w:t>总大肠菌</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大肠埃希氏菌</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菌落总数</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砷</w:t>
            </w:r>
            <w:r>
              <w:rPr>
                <w:rFonts w:hint="default" w:ascii="Times New Roman" w:hAnsi="Times New Roman" w:eastAsia="宋体" w:cs="Times New Roman"/>
                <w:sz w:val="21"/>
                <w:szCs w:val="21"/>
                <w:highlight w:val="none"/>
                <w:vertAlign w:val="baseline"/>
                <w:lang w:val="en-US" w:eastAsia="zh-CN"/>
              </w:rPr>
              <w:t>、镉、</w:t>
            </w:r>
            <w:r>
              <w:rPr>
                <w:rFonts w:hint="default" w:ascii="Times New Roman" w:hAnsi="Times New Roman" w:eastAsia="宋体" w:cs="Times New Roman"/>
                <w:color w:val="auto"/>
                <w:sz w:val="21"/>
                <w:szCs w:val="21"/>
                <w:highlight w:val="none"/>
              </w:rPr>
              <w:t>铬（六价）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铅</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汞</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氰化物</w:t>
            </w:r>
            <w:r>
              <w:rPr>
                <w:rFonts w:hint="default" w:ascii="Times New Roman" w:hAnsi="Times New Roman" w:eastAsia="宋体" w:cs="Times New Roman"/>
                <w:sz w:val="21"/>
                <w:szCs w:val="21"/>
                <w:highlight w:val="none"/>
                <w:vertAlign w:val="baseline"/>
                <w:lang w:val="en-US" w:eastAsia="zh-CN"/>
              </w:rPr>
              <w:t>、氟化物</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硝酸盐</w:t>
            </w:r>
            <w:r>
              <w:rPr>
                <w:rFonts w:hint="default" w:ascii="Times New Roman" w:hAnsi="Times New Roman" w:eastAsia="宋体" w:cs="Times New Roman"/>
                <w:color w:val="auto"/>
                <w:sz w:val="21"/>
                <w:szCs w:val="21"/>
                <w:highlight w:val="none"/>
                <w:lang w:eastAsia="zh-CN"/>
              </w:rPr>
              <w:t>（以</w:t>
            </w:r>
            <w:r>
              <w:rPr>
                <w:rFonts w:hint="default" w:ascii="Times New Roman" w:hAnsi="Times New Roman" w:eastAsia="宋体" w:cs="Times New Roman"/>
                <w:color w:val="auto"/>
                <w:sz w:val="21"/>
                <w:szCs w:val="21"/>
                <w:highlight w:val="none"/>
                <w:lang w:val="en-US" w:eastAsia="zh-CN"/>
              </w:rPr>
              <w:t>N计</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三氯甲烷</w:t>
            </w:r>
            <w:r>
              <w:rPr>
                <w:rFonts w:hint="default" w:ascii="Times New Roman" w:hAnsi="Times New Roman" w:eastAsia="宋体" w:cs="Times New Roman"/>
                <w:color w:val="auto"/>
                <w:sz w:val="21"/>
                <w:szCs w:val="21"/>
                <w:highlight w:val="none"/>
                <w:lang w:val="en-US" w:eastAsia="zh-CN"/>
              </w:rPr>
              <w:t>、一氯二溴甲烷、二氯一溴甲烷、三溴甲烷、</w:t>
            </w:r>
            <w:r>
              <w:rPr>
                <w:rFonts w:hint="default" w:ascii="Times New Roman" w:hAnsi="Times New Roman" w:eastAsia="宋体" w:cs="Times New Roman"/>
                <w:snapToGrid w:val="0"/>
                <w:kern w:val="0"/>
                <w:sz w:val="21"/>
                <w:szCs w:val="21"/>
                <w:highlight w:val="none"/>
                <w:lang w:val="en-US" w:eastAsia="zh-CN" w:bidi="ar-SA"/>
              </w:rPr>
              <w:t>三卤甲烷（包含</w:t>
            </w:r>
            <w:r>
              <w:rPr>
                <w:rFonts w:hint="default" w:ascii="Times New Roman" w:hAnsi="Times New Roman" w:eastAsia="宋体" w:cs="Times New Roman"/>
                <w:color w:val="auto"/>
                <w:sz w:val="21"/>
                <w:szCs w:val="21"/>
                <w:highlight w:val="none"/>
              </w:rPr>
              <w:t>三氯甲烷</w:t>
            </w:r>
            <w:r>
              <w:rPr>
                <w:rFonts w:hint="default" w:ascii="Times New Roman" w:hAnsi="Times New Roman" w:eastAsia="宋体" w:cs="Times New Roman"/>
                <w:color w:val="auto"/>
                <w:sz w:val="21"/>
                <w:szCs w:val="21"/>
                <w:highlight w:val="none"/>
                <w:lang w:val="en-US" w:eastAsia="zh-CN"/>
              </w:rPr>
              <w:t>、一氯二溴甲烷、二氯一溴甲烷、三溴甲烷</w:t>
            </w:r>
            <w:r>
              <w:rPr>
                <w:rFonts w:hint="default" w:ascii="Times New Roman" w:hAnsi="Times New Roman" w:eastAsia="宋体" w:cs="Times New Roman"/>
                <w:snapToGrid w:val="0"/>
                <w:kern w:val="0"/>
                <w:sz w:val="21"/>
                <w:szCs w:val="21"/>
                <w:highlight w:val="none"/>
                <w:lang w:val="en-US" w:eastAsia="zh-CN" w:bidi="ar-SA"/>
              </w:rPr>
              <w:t>）、</w:t>
            </w:r>
            <w:r>
              <w:rPr>
                <w:rFonts w:hint="default" w:ascii="Times New Roman" w:hAnsi="Times New Roman" w:eastAsia="宋体" w:cs="Times New Roman"/>
                <w:color w:val="auto"/>
                <w:sz w:val="21"/>
                <w:szCs w:val="21"/>
                <w:highlight w:val="none"/>
                <w:lang w:val="en-US" w:eastAsia="zh-CN"/>
              </w:rPr>
              <w:t>二氯乙酸、三氯乙酸、溴酸盐、亚氯酸盐、氯酸盐</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色度</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浑浊度</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臭和味</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肉眼可见物</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pH</w:t>
            </w:r>
            <w:r>
              <w:rPr>
                <w:rFonts w:hint="default" w:ascii="Times New Roman" w:hAnsi="Times New Roman" w:eastAsia="宋体" w:cs="Times New Roman"/>
                <w:color w:val="auto"/>
                <w:sz w:val="21"/>
                <w:szCs w:val="21"/>
                <w:highlight w:val="none"/>
                <w:lang w:val="en-US" w:eastAsia="zh-CN"/>
              </w:rPr>
              <w:t>值</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铝</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铁</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锰</w:t>
            </w:r>
            <w:r>
              <w:rPr>
                <w:rFonts w:hint="default" w:ascii="Times New Roman" w:hAnsi="Times New Roman" w:eastAsia="宋体" w:cs="Times New Roman"/>
                <w:sz w:val="21"/>
                <w:szCs w:val="21"/>
                <w:highlight w:val="none"/>
                <w:vertAlign w:val="baseline"/>
                <w:lang w:val="en-US" w:eastAsia="zh-CN"/>
              </w:rPr>
              <w:t>、铜</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锌</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氯化物</w:t>
            </w:r>
            <w:r>
              <w:rPr>
                <w:rFonts w:hint="default" w:ascii="Times New Roman" w:hAnsi="Times New Roman" w:eastAsia="宋体" w:cs="Times New Roman"/>
                <w:sz w:val="21"/>
                <w:szCs w:val="21"/>
                <w:highlight w:val="none"/>
                <w:vertAlign w:val="baseline"/>
                <w:lang w:val="en-US" w:eastAsia="zh-CN"/>
              </w:rPr>
              <w:t>、硫酸盐、</w:t>
            </w:r>
            <w:r>
              <w:rPr>
                <w:rFonts w:hint="default" w:ascii="Times New Roman" w:hAnsi="Times New Roman" w:eastAsia="宋体" w:cs="Times New Roman"/>
                <w:color w:val="auto"/>
                <w:sz w:val="21"/>
                <w:szCs w:val="21"/>
                <w:highlight w:val="none"/>
              </w:rPr>
              <w:t>溶解性总固体</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总硬度</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高锰酸盐指数（以O</w:t>
            </w:r>
            <w:r>
              <w:rPr>
                <w:rFonts w:hint="default" w:ascii="Times New Roman" w:hAnsi="Times New Roman" w:eastAsia="宋体" w:cs="Times New Roman"/>
                <w:bCs/>
                <w:color w:val="auto"/>
                <w:sz w:val="21"/>
                <w:szCs w:val="21"/>
                <w:highlight w:val="none"/>
                <w:vertAlign w:val="subscript"/>
              </w:rPr>
              <w:t>2</w:t>
            </w:r>
            <w:r>
              <w:rPr>
                <w:rFonts w:hint="default" w:ascii="Times New Roman" w:hAnsi="Times New Roman" w:eastAsia="宋体" w:cs="Times New Roman"/>
                <w:bCs/>
                <w:color w:val="auto"/>
                <w:sz w:val="21"/>
                <w:szCs w:val="21"/>
                <w:highlight w:val="none"/>
              </w:rPr>
              <w:t>计）</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color w:val="auto"/>
                <w:sz w:val="21"/>
                <w:szCs w:val="21"/>
                <w:highlight w:val="none"/>
              </w:rPr>
              <w:t>氨（以N计）</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总α放射性</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总β放射性</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游离氯、总氯、臭氧、二氧化氯</w:t>
            </w:r>
          </w:p>
        </w:tc>
        <w:tc>
          <w:tcPr>
            <w:tcW w:w="1147" w:type="pct"/>
            <w:vMerge w:val="restart"/>
            <w:tcBorders>
              <w:tl2br w:val="nil"/>
              <w:tr2bl w:val="nil"/>
            </w:tcBorders>
            <w:noWrap w:val="0"/>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监测</w:t>
            </w:r>
            <w:r>
              <w:rPr>
                <w:rFonts w:hint="default"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rPr>
              <w:t>天，</w:t>
            </w:r>
            <w:r>
              <w:rPr>
                <w:rFonts w:hint="default" w:ascii="Times New Roman" w:hAnsi="Times New Roman" w:eastAsia="宋体" w:cs="Times New Roman"/>
                <w:sz w:val="21"/>
                <w:szCs w:val="21"/>
                <w:highlight w:val="none"/>
                <w:lang w:eastAsia="zh-CN"/>
              </w:rPr>
              <w:t>监测</w:t>
            </w:r>
            <w:r>
              <w:rPr>
                <w:rFonts w:hint="default" w:ascii="Times New Roman" w:hAnsi="Times New Roman" w:eastAsia="宋体" w:cs="Times New Roman"/>
                <w:sz w:val="21"/>
                <w:szCs w:val="21"/>
                <w:highlight w:val="none"/>
                <w:lang w:val="en-US" w:eastAsia="zh-CN"/>
              </w:rPr>
              <w:t>1次</w:t>
            </w:r>
            <w:r>
              <w:rPr>
                <w:rFonts w:hint="default" w:ascii="Times New Roman" w:hAnsi="Times New Roman" w:eastAsia="宋体" w:cs="Times New Roman"/>
                <w:sz w:val="21"/>
                <w:szCs w:val="21"/>
                <w:highlight w:val="none"/>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w:t>
            </w:r>
          </w:p>
        </w:tc>
        <w:tc>
          <w:tcPr>
            <w:tcW w:w="1148" w:type="pct"/>
            <w:tcBorders>
              <w:tl2br w:val="nil"/>
              <w:tr2bl w:val="nil"/>
            </w:tcBorders>
            <w:vAlign w:val="center"/>
          </w:tcPr>
          <w:p>
            <w:pPr>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eastAsia="宋体" w:cs="Times New Roman"/>
                <w:sz w:val="21"/>
                <w:szCs w:val="21"/>
                <w:highlight w:val="none"/>
                <w:lang w:eastAsia="zh-CN"/>
              </w:rPr>
              <w:t>二台子自来水营业所</w:t>
            </w:r>
          </w:p>
        </w:tc>
        <w:tc>
          <w:tcPr>
            <w:tcW w:w="2354"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1147" w:type="pct"/>
            <w:vMerge w:val="continue"/>
            <w:tcBorders>
              <w:tl2br w:val="nil"/>
              <w:tr2bl w:val="nil"/>
            </w:tcBorders>
            <w:vAlign w:val="center"/>
          </w:tcPr>
          <w:p>
            <w:pPr>
              <w:jc w:val="center"/>
              <w:rPr>
                <w:rFonts w:hint="default" w:ascii="Times New Roman" w:hAnsi="Times New Roman" w:eastAsia="宋体" w:cs="Times New Roman"/>
                <w:sz w:val="21"/>
                <w:szCs w:val="21"/>
                <w:highlight w:val="no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w:t>
            </w:r>
          </w:p>
        </w:tc>
        <w:tc>
          <w:tcPr>
            <w:tcW w:w="1148" w:type="pct"/>
            <w:tcBorders>
              <w:tl2br w:val="nil"/>
              <w:tr2bl w:val="nil"/>
            </w:tcBorders>
            <w:vAlign w:val="center"/>
          </w:tcPr>
          <w:p>
            <w:pPr>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eastAsia="宋体" w:cs="Times New Roman"/>
                <w:sz w:val="21"/>
                <w:szCs w:val="21"/>
                <w:highlight w:val="none"/>
                <w:lang w:eastAsia="zh-CN"/>
              </w:rPr>
              <w:t>金桥所汇新泵站</w:t>
            </w:r>
          </w:p>
        </w:tc>
        <w:tc>
          <w:tcPr>
            <w:tcW w:w="2354"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1147" w:type="pct"/>
            <w:vMerge w:val="continue"/>
            <w:tcBorders>
              <w:tl2br w:val="nil"/>
              <w:tr2bl w:val="nil"/>
            </w:tcBorders>
            <w:vAlign w:val="center"/>
          </w:tcPr>
          <w:p>
            <w:pPr>
              <w:jc w:val="center"/>
              <w:rPr>
                <w:rFonts w:hint="default" w:ascii="Times New Roman" w:hAnsi="Times New Roman" w:eastAsia="宋体" w:cs="Times New Roman"/>
                <w:sz w:val="21"/>
                <w:szCs w:val="21"/>
                <w:highlight w:val="no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4</w:t>
            </w:r>
          </w:p>
        </w:tc>
        <w:tc>
          <w:tcPr>
            <w:tcW w:w="1148" w:type="pct"/>
            <w:tcBorders>
              <w:tl2br w:val="nil"/>
              <w:tr2bl w:val="nil"/>
            </w:tcBorders>
            <w:vAlign w:val="center"/>
          </w:tcPr>
          <w:p>
            <w:pPr>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eastAsia="宋体" w:cs="Times New Roman"/>
                <w:sz w:val="21"/>
                <w:szCs w:val="21"/>
                <w:highlight w:val="none"/>
                <w:lang w:eastAsia="zh-CN"/>
              </w:rPr>
              <w:t>东塔所锦绣花园泵站</w:t>
            </w:r>
          </w:p>
        </w:tc>
        <w:tc>
          <w:tcPr>
            <w:tcW w:w="2354"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1147" w:type="pct"/>
            <w:vMerge w:val="continue"/>
            <w:tcBorders>
              <w:tl2br w:val="nil"/>
              <w:tr2bl w:val="nil"/>
            </w:tcBorders>
            <w:vAlign w:val="center"/>
          </w:tcPr>
          <w:p>
            <w:pPr>
              <w:jc w:val="center"/>
              <w:rPr>
                <w:rFonts w:hint="default" w:ascii="Times New Roman" w:hAnsi="Times New Roman" w:eastAsia="宋体" w:cs="Times New Roman"/>
                <w:sz w:val="21"/>
                <w:szCs w:val="21"/>
                <w:highlight w:val="no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5</w:t>
            </w:r>
          </w:p>
        </w:tc>
        <w:tc>
          <w:tcPr>
            <w:tcW w:w="1148" w:type="pct"/>
            <w:tcBorders>
              <w:tl2br w:val="nil"/>
              <w:tr2bl w:val="nil"/>
            </w:tcBorders>
            <w:vAlign w:val="center"/>
          </w:tcPr>
          <w:p>
            <w:pPr>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eastAsia="宋体" w:cs="Times New Roman"/>
                <w:sz w:val="21"/>
                <w:szCs w:val="21"/>
                <w:highlight w:val="none"/>
                <w:lang w:eastAsia="zh-CN"/>
              </w:rPr>
              <w:t>汽车城南区泵站</w:t>
            </w:r>
          </w:p>
        </w:tc>
        <w:tc>
          <w:tcPr>
            <w:tcW w:w="2354"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1147" w:type="pct"/>
            <w:vMerge w:val="continue"/>
            <w:tcBorders>
              <w:tl2br w:val="nil"/>
              <w:tr2bl w:val="nil"/>
            </w:tcBorders>
            <w:vAlign w:val="center"/>
          </w:tcPr>
          <w:p>
            <w:pPr>
              <w:jc w:val="center"/>
              <w:rPr>
                <w:rFonts w:hint="default" w:ascii="Times New Roman" w:hAnsi="Times New Roman" w:eastAsia="宋体" w:cs="Times New Roman"/>
                <w:sz w:val="21"/>
                <w:szCs w:val="21"/>
                <w:highlight w:val="no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6</w:t>
            </w:r>
          </w:p>
        </w:tc>
        <w:tc>
          <w:tcPr>
            <w:tcW w:w="1148" w:type="pct"/>
            <w:tcBorders>
              <w:tl2br w:val="nil"/>
              <w:tr2bl w:val="nil"/>
            </w:tcBorders>
            <w:vAlign w:val="center"/>
          </w:tcPr>
          <w:p>
            <w:pPr>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eastAsia="宋体" w:cs="Times New Roman"/>
                <w:sz w:val="21"/>
                <w:szCs w:val="21"/>
                <w:highlight w:val="none"/>
                <w:lang w:eastAsia="zh-CN"/>
              </w:rPr>
              <w:t>华园新村泵站</w:t>
            </w:r>
          </w:p>
        </w:tc>
        <w:tc>
          <w:tcPr>
            <w:tcW w:w="2354"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1147" w:type="pct"/>
            <w:vMerge w:val="continue"/>
            <w:tcBorders>
              <w:tl2br w:val="nil"/>
              <w:tr2bl w:val="nil"/>
            </w:tcBorders>
            <w:vAlign w:val="center"/>
          </w:tcPr>
          <w:p>
            <w:pPr>
              <w:jc w:val="center"/>
              <w:rPr>
                <w:rFonts w:hint="default" w:ascii="Times New Roman" w:hAnsi="Times New Roman" w:eastAsia="宋体" w:cs="Times New Roman"/>
                <w:sz w:val="21"/>
                <w:szCs w:val="21"/>
                <w:highlight w:val="no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7</w:t>
            </w:r>
          </w:p>
        </w:tc>
        <w:tc>
          <w:tcPr>
            <w:tcW w:w="0" w:type="auto"/>
            <w:tcBorders>
              <w:tl2br w:val="nil"/>
              <w:tr2bl w:val="nil"/>
            </w:tcBorders>
            <w:vAlign w:val="center"/>
          </w:tcPr>
          <w:p>
            <w:pPr>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eastAsia="宋体" w:cs="Times New Roman"/>
                <w:sz w:val="21"/>
                <w:szCs w:val="21"/>
                <w:highlight w:val="none"/>
                <w:lang w:eastAsia="zh-CN"/>
              </w:rPr>
              <w:t>军区联勤部泵站</w:t>
            </w:r>
          </w:p>
        </w:tc>
        <w:tc>
          <w:tcPr>
            <w:tcW w:w="2354"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1147" w:type="pct"/>
            <w:vMerge w:val="continue"/>
            <w:tcBorders>
              <w:tl2br w:val="nil"/>
              <w:tr2bl w:val="nil"/>
            </w:tcBorders>
            <w:vAlign w:val="center"/>
          </w:tcPr>
          <w:p>
            <w:pPr>
              <w:jc w:val="center"/>
              <w:rPr>
                <w:rFonts w:hint="default" w:ascii="Times New Roman" w:hAnsi="Times New Roman" w:eastAsia="宋体" w:cs="Times New Roman"/>
                <w:sz w:val="21"/>
                <w:szCs w:val="21"/>
                <w:highlight w:val="no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8</w:t>
            </w:r>
          </w:p>
        </w:tc>
        <w:tc>
          <w:tcPr>
            <w:tcW w:w="0" w:type="auto"/>
            <w:tcBorders>
              <w:tl2br w:val="nil"/>
              <w:tr2bl w:val="nil"/>
            </w:tcBorders>
            <w:vAlign w:val="center"/>
          </w:tcPr>
          <w:p>
            <w:pPr>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eastAsia="宋体" w:cs="Times New Roman"/>
                <w:sz w:val="21"/>
                <w:szCs w:val="21"/>
                <w:highlight w:val="none"/>
                <w:lang w:eastAsia="zh-CN"/>
              </w:rPr>
              <w:t>正轩悦堂泵站</w:t>
            </w:r>
          </w:p>
        </w:tc>
        <w:tc>
          <w:tcPr>
            <w:tcW w:w="2354"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1147" w:type="pct"/>
            <w:vMerge w:val="continue"/>
            <w:tcBorders>
              <w:tl2br w:val="nil"/>
              <w:tr2bl w:val="nil"/>
            </w:tcBorders>
            <w:vAlign w:val="center"/>
          </w:tcPr>
          <w:p>
            <w:pPr>
              <w:jc w:val="center"/>
              <w:rPr>
                <w:rFonts w:hint="default" w:ascii="Times New Roman" w:hAnsi="Times New Roman" w:eastAsia="宋体" w:cs="Times New Roman"/>
                <w:sz w:val="21"/>
                <w:szCs w:val="21"/>
                <w:highlight w:val="no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9</w:t>
            </w:r>
          </w:p>
        </w:tc>
        <w:tc>
          <w:tcPr>
            <w:tcW w:w="0" w:type="auto"/>
            <w:tcBorders>
              <w:tl2br w:val="nil"/>
              <w:tr2bl w:val="nil"/>
            </w:tcBorders>
            <w:vAlign w:val="center"/>
          </w:tcPr>
          <w:p>
            <w:pPr>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eastAsia="宋体" w:cs="Times New Roman"/>
                <w:sz w:val="21"/>
                <w:szCs w:val="21"/>
                <w:highlight w:val="none"/>
                <w:lang w:eastAsia="zh-CN"/>
              </w:rPr>
              <w:t>玖成乐府泵站</w:t>
            </w:r>
          </w:p>
        </w:tc>
        <w:tc>
          <w:tcPr>
            <w:tcW w:w="2354"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1147" w:type="pct"/>
            <w:vMerge w:val="continue"/>
            <w:tcBorders>
              <w:tl2br w:val="nil"/>
              <w:tr2bl w:val="nil"/>
            </w:tcBorders>
            <w:vAlign w:val="center"/>
          </w:tcPr>
          <w:p>
            <w:pPr>
              <w:jc w:val="center"/>
              <w:rPr>
                <w:rFonts w:hint="default" w:ascii="Times New Roman" w:hAnsi="Times New Roman" w:eastAsia="宋体" w:cs="Times New Roman"/>
                <w:sz w:val="21"/>
                <w:szCs w:val="21"/>
                <w:highlight w:val="no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10</w:t>
            </w:r>
          </w:p>
        </w:tc>
        <w:tc>
          <w:tcPr>
            <w:tcW w:w="0" w:type="auto"/>
            <w:tcBorders>
              <w:tl2br w:val="nil"/>
              <w:tr2bl w:val="nil"/>
            </w:tcBorders>
            <w:vAlign w:val="center"/>
          </w:tcPr>
          <w:p>
            <w:pPr>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eastAsia="宋体" w:cs="Times New Roman"/>
                <w:sz w:val="21"/>
                <w:szCs w:val="21"/>
                <w:highlight w:val="none"/>
                <w:lang w:eastAsia="zh-CN"/>
              </w:rPr>
              <w:t>工人村泵站</w:t>
            </w:r>
          </w:p>
        </w:tc>
        <w:tc>
          <w:tcPr>
            <w:tcW w:w="2354"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1147" w:type="pct"/>
            <w:vMerge w:val="continue"/>
            <w:tcBorders>
              <w:tl2br w:val="nil"/>
              <w:tr2bl w:val="nil"/>
            </w:tcBorders>
            <w:vAlign w:val="center"/>
          </w:tcPr>
          <w:p>
            <w:pPr>
              <w:jc w:val="center"/>
              <w:rPr>
                <w:rFonts w:hint="default" w:ascii="Times New Roman" w:hAnsi="Times New Roman" w:eastAsia="宋体" w:cs="Times New Roman"/>
                <w:sz w:val="21"/>
                <w:szCs w:val="21"/>
                <w:highlight w:val="no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11</w:t>
            </w:r>
          </w:p>
        </w:tc>
        <w:tc>
          <w:tcPr>
            <w:tcW w:w="0" w:type="auto"/>
            <w:tcBorders>
              <w:tl2br w:val="nil"/>
              <w:tr2bl w:val="nil"/>
            </w:tcBorders>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eastAsia="zh-CN"/>
              </w:rPr>
              <w:t>太清宫泵站</w:t>
            </w:r>
          </w:p>
        </w:tc>
        <w:tc>
          <w:tcPr>
            <w:tcW w:w="2354"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1147" w:type="pct"/>
            <w:vMerge w:val="continue"/>
            <w:tcBorders>
              <w:tl2br w:val="nil"/>
              <w:tr2bl w:val="nil"/>
            </w:tcBorders>
            <w:vAlign w:val="center"/>
          </w:tcPr>
          <w:p>
            <w:pPr>
              <w:jc w:val="center"/>
              <w:rPr>
                <w:rFonts w:hint="default" w:ascii="Times New Roman" w:hAnsi="Times New Roman" w:eastAsia="宋体" w:cs="Times New Roman"/>
                <w:sz w:val="21"/>
                <w:szCs w:val="21"/>
                <w:highlight w:val="no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12</w:t>
            </w:r>
          </w:p>
        </w:tc>
        <w:tc>
          <w:tcPr>
            <w:tcW w:w="0" w:type="auto"/>
            <w:tcBorders>
              <w:tl2br w:val="nil"/>
              <w:tr2bl w:val="nil"/>
            </w:tcBorders>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eastAsia="zh-CN"/>
              </w:rPr>
              <w:t>山东堡泵站</w:t>
            </w:r>
          </w:p>
        </w:tc>
        <w:tc>
          <w:tcPr>
            <w:tcW w:w="2354"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1147" w:type="pct"/>
            <w:vMerge w:val="continue"/>
            <w:tcBorders>
              <w:tl2br w:val="nil"/>
              <w:tr2bl w:val="nil"/>
            </w:tcBorders>
            <w:vAlign w:val="center"/>
          </w:tcPr>
          <w:p>
            <w:pPr>
              <w:jc w:val="center"/>
              <w:rPr>
                <w:rFonts w:hint="default" w:ascii="Times New Roman" w:hAnsi="Times New Roman" w:eastAsia="宋体" w:cs="Times New Roman"/>
                <w:sz w:val="21"/>
                <w:szCs w:val="21"/>
                <w:highlight w:val="no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13</w:t>
            </w:r>
          </w:p>
        </w:tc>
        <w:tc>
          <w:tcPr>
            <w:tcW w:w="0" w:type="auto"/>
            <w:tcBorders>
              <w:tl2br w:val="nil"/>
              <w:tr2bl w:val="nil"/>
            </w:tcBorders>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eastAsia="zh-CN"/>
              </w:rPr>
              <w:t>电话东泵站</w:t>
            </w:r>
          </w:p>
        </w:tc>
        <w:tc>
          <w:tcPr>
            <w:tcW w:w="2354"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1147" w:type="pct"/>
            <w:vMerge w:val="continue"/>
            <w:tcBorders>
              <w:tl2br w:val="nil"/>
              <w:tr2bl w:val="nil"/>
            </w:tcBorders>
            <w:vAlign w:val="center"/>
          </w:tcPr>
          <w:p>
            <w:pPr>
              <w:jc w:val="center"/>
              <w:rPr>
                <w:rFonts w:hint="default" w:ascii="Times New Roman" w:hAnsi="Times New Roman" w:eastAsia="宋体" w:cs="Times New Roman"/>
                <w:sz w:val="21"/>
                <w:szCs w:val="21"/>
                <w:highlight w:val="no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14</w:t>
            </w:r>
          </w:p>
        </w:tc>
        <w:tc>
          <w:tcPr>
            <w:tcW w:w="0" w:type="auto"/>
            <w:tcBorders>
              <w:tl2br w:val="nil"/>
              <w:tr2bl w:val="nil"/>
            </w:tcBorders>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eastAsia="zh-CN"/>
              </w:rPr>
              <w:t>翠生泵站</w:t>
            </w:r>
          </w:p>
        </w:tc>
        <w:tc>
          <w:tcPr>
            <w:tcW w:w="2354" w:type="pct"/>
            <w:vMerge w:val="restar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r>
              <w:rPr>
                <w:rFonts w:hint="default" w:ascii="Times New Roman" w:hAnsi="Times New Roman" w:eastAsia="宋体" w:cs="Times New Roman"/>
                <w:color w:val="auto"/>
                <w:sz w:val="21"/>
                <w:szCs w:val="21"/>
                <w:highlight w:val="none"/>
              </w:rPr>
              <w:t>总大肠菌</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大肠埃希氏菌</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菌落总数</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砷</w:t>
            </w:r>
            <w:r>
              <w:rPr>
                <w:rFonts w:hint="default" w:ascii="Times New Roman" w:hAnsi="Times New Roman" w:eastAsia="宋体" w:cs="Times New Roman"/>
                <w:sz w:val="21"/>
                <w:szCs w:val="21"/>
                <w:highlight w:val="none"/>
                <w:vertAlign w:val="baseline"/>
                <w:lang w:val="en-US" w:eastAsia="zh-CN"/>
              </w:rPr>
              <w:t>、镉、</w:t>
            </w:r>
            <w:r>
              <w:rPr>
                <w:rFonts w:hint="default" w:ascii="Times New Roman" w:hAnsi="Times New Roman" w:eastAsia="宋体" w:cs="Times New Roman"/>
                <w:color w:val="auto"/>
                <w:sz w:val="21"/>
                <w:szCs w:val="21"/>
                <w:highlight w:val="none"/>
              </w:rPr>
              <w:t>铬（六价）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铅</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汞</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氰化物</w:t>
            </w:r>
            <w:r>
              <w:rPr>
                <w:rFonts w:hint="default" w:ascii="Times New Roman" w:hAnsi="Times New Roman" w:eastAsia="宋体" w:cs="Times New Roman"/>
                <w:sz w:val="21"/>
                <w:szCs w:val="21"/>
                <w:highlight w:val="none"/>
                <w:vertAlign w:val="baseline"/>
                <w:lang w:val="en-US" w:eastAsia="zh-CN"/>
              </w:rPr>
              <w:t>、氟化物</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硝酸盐</w:t>
            </w:r>
            <w:r>
              <w:rPr>
                <w:rFonts w:hint="default" w:ascii="Times New Roman" w:hAnsi="Times New Roman" w:eastAsia="宋体" w:cs="Times New Roman"/>
                <w:color w:val="auto"/>
                <w:sz w:val="21"/>
                <w:szCs w:val="21"/>
                <w:highlight w:val="none"/>
                <w:lang w:eastAsia="zh-CN"/>
              </w:rPr>
              <w:t>（以</w:t>
            </w:r>
            <w:r>
              <w:rPr>
                <w:rFonts w:hint="default" w:ascii="Times New Roman" w:hAnsi="Times New Roman" w:eastAsia="宋体" w:cs="Times New Roman"/>
                <w:color w:val="auto"/>
                <w:sz w:val="21"/>
                <w:szCs w:val="21"/>
                <w:highlight w:val="none"/>
                <w:lang w:val="en-US" w:eastAsia="zh-CN"/>
              </w:rPr>
              <w:t>N计</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三氯甲烷</w:t>
            </w:r>
            <w:r>
              <w:rPr>
                <w:rFonts w:hint="default" w:ascii="Times New Roman" w:hAnsi="Times New Roman" w:eastAsia="宋体" w:cs="Times New Roman"/>
                <w:color w:val="auto"/>
                <w:sz w:val="21"/>
                <w:szCs w:val="21"/>
                <w:highlight w:val="none"/>
                <w:lang w:val="en-US" w:eastAsia="zh-CN"/>
              </w:rPr>
              <w:t>、一氯二溴甲烷、二氯一溴甲烷、三溴甲烷、</w:t>
            </w:r>
            <w:r>
              <w:rPr>
                <w:rFonts w:hint="default" w:ascii="Times New Roman" w:hAnsi="Times New Roman" w:eastAsia="宋体" w:cs="Times New Roman"/>
                <w:snapToGrid w:val="0"/>
                <w:kern w:val="0"/>
                <w:sz w:val="21"/>
                <w:szCs w:val="21"/>
                <w:highlight w:val="none"/>
                <w:lang w:val="en-US" w:eastAsia="zh-CN" w:bidi="ar-SA"/>
              </w:rPr>
              <w:t>三卤甲烷（包含</w:t>
            </w:r>
            <w:r>
              <w:rPr>
                <w:rFonts w:hint="default" w:ascii="Times New Roman" w:hAnsi="Times New Roman" w:eastAsia="宋体" w:cs="Times New Roman"/>
                <w:color w:val="auto"/>
                <w:sz w:val="21"/>
                <w:szCs w:val="21"/>
                <w:highlight w:val="none"/>
              </w:rPr>
              <w:t>三氯甲烷</w:t>
            </w:r>
            <w:r>
              <w:rPr>
                <w:rFonts w:hint="default" w:ascii="Times New Roman" w:hAnsi="Times New Roman" w:eastAsia="宋体" w:cs="Times New Roman"/>
                <w:color w:val="auto"/>
                <w:sz w:val="21"/>
                <w:szCs w:val="21"/>
                <w:highlight w:val="none"/>
                <w:lang w:val="en-US" w:eastAsia="zh-CN"/>
              </w:rPr>
              <w:t>、一氯二溴甲烷、二氯一溴甲烷、三溴甲烷</w:t>
            </w:r>
            <w:r>
              <w:rPr>
                <w:rFonts w:hint="default" w:ascii="Times New Roman" w:hAnsi="Times New Roman" w:eastAsia="宋体" w:cs="Times New Roman"/>
                <w:snapToGrid w:val="0"/>
                <w:kern w:val="0"/>
                <w:sz w:val="21"/>
                <w:szCs w:val="21"/>
                <w:highlight w:val="none"/>
                <w:lang w:val="en-US" w:eastAsia="zh-CN" w:bidi="ar-SA"/>
              </w:rPr>
              <w:t>）、</w:t>
            </w:r>
            <w:r>
              <w:rPr>
                <w:rFonts w:hint="default" w:ascii="Times New Roman" w:hAnsi="Times New Roman" w:eastAsia="宋体" w:cs="Times New Roman"/>
                <w:color w:val="auto"/>
                <w:sz w:val="21"/>
                <w:szCs w:val="21"/>
                <w:highlight w:val="none"/>
                <w:lang w:val="en-US" w:eastAsia="zh-CN"/>
              </w:rPr>
              <w:t>二氯乙酸、三氯乙酸、溴酸盐、亚氯酸盐、氯酸盐</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色度</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浑浊度</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臭和味</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肉眼可见物</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pH</w:t>
            </w:r>
            <w:r>
              <w:rPr>
                <w:rFonts w:hint="default" w:ascii="Times New Roman" w:hAnsi="Times New Roman" w:eastAsia="宋体" w:cs="Times New Roman"/>
                <w:color w:val="auto"/>
                <w:sz w:val="21"/>
                <w:szCs w:val="21"/>
                <w:highlight w:val="none"/>
                <w:lang w:val="en-US" w:eastAsia="zh-CN"/>
              </w:rPr>
              <w:t>值</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铝</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铁</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锰</w:t>
            </w:r>
            <w:r>
              <w:rPr>
                <w:rFonts w:hint="default" w:ascii="Times New Roman" w:hAnsi="Times New Roman" w:eastAsia="宋体" w:cs="Times New Roman"/>
                <w:sz w:val="21"/>
                <w:szCs w:val="21"/>
                <w:highlight w:val="none"/>
                <w:vertAlign w:val="baseline"/>
                <w:lang w:val="en-US" w:eastAsia="zh-CN"/>
              </w:rPr>
              <w:t>、铜</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锌</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氯化物</w:t>
            </w:r>
            <w:r>
              <w:rPr>
                <w:rFonts w:hint="default" w:ascii="Times New Roman" w:hAnsi="Times New Roman" w:eastAsia="宋体" w:cs="Times New Roman"/>
                <w:sz w:val="21"/>
                <w:szCs w:val="21"/>
                <w:highlight w:val="none"/>
                <w:vertAlign w:val="baseline"/>
                <w:lang w:val="en-US" w:eastAsia="zh-CN"/>
              </w:rPr>
              <w:t>、硫酸盐、</w:t>
            </w:r>
            <w:r>
              <w:rPr>
                <w:rFonts w:hint="default" w:ascii="Times New Roman" w:hAnsi="Times New Roman" w:eastAsia="宋体" w:cs="Times New Roman"/>
                <w:color w:val="auto"/>
                <w:sz w:val="21"/>
                <w:szCs w:val="21"/>
                <w:highlight w:val="none"/>
              </w:rPr>
              <w:t>溶解性总固体</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总硬度</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高锰酸盐指数（以O</w:t>
            </w:r>
            <w:r>
              <w:rPr>
                <w:rFonts w:hint="default" w:ascii="Times New Roman" w:hAnsi="Times New Roman" w:eastAsia="宋体" w:cs="Times New Roman"/>
                <w:bCs/>
                <w:color w:val="auto"/>
                <w:sz w:val="21"/>
                <w:szCs w:val="21"/>
                <w:highlight w:val="none"/>
                <w:vertAlign w:val="subscript"/>
              </w:rPr>
              <w:t>2</w:t>
            </w:r>
            <w:r>
              <w:rPr>
                <w:rFonts w:hint="default" w:ascii="Times New Roman" w:hAnsi="Times New Roman" w:eastAsia="宋体" w:cs="Times New Roman"/>
                <w:bCs/>
                <w:color w:val="auto"/>
                <w:sz w:val="21"/>
                <w:szCs w:val="21"/>
                <w:highlight w:val="none"/>
              </w:rPr>
              <w:t>计）</w:t>
            </w:r>
            <w:r>
              <w:rPr>
                <w:rFonts w:hint="default"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color w:val="auto"/>
                <w:sz w:val="21"/>
                <w:szCs w:val="21"/>
                <w:highlight w:val="none"/>
              </w:rPr>
              <w:t>氨（以N计）</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总α放射性</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总β放射性</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游离氯、总氯、臭氧、二氧化氯</w:t>
            </w:r>
          </w:p>
        </w:tc>
        <w:tc>
          <w:tcPr>
            <w:tcW w:w="1147" w:type="pct"/>
            <w:vMerge w:val="restart"/>
            <w:tcBorders>
              <w:tl2br w:val="nil"/>
              <w:tr2bl w:val="nil"/>
            </w:tcBorders>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监测</w:t>
            </w:r>
            <w:r>
              <w:rPr>
                <w:rFonts w:hint="default"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rPr>
              <w:t>天，</w:t>
            </w:r>
            <w:r>
              <w:rPr>
                <w:rFonts w:hint="default" w:ascii="Times New Roman" w:hAnsi="Times New Roman" w:eastAsia="宋体" w:cs="Times New Roman"/>
                <w:sz w:val="21"/>
                <w:szCs w:val="21"/>
                <w:highlight w:val="none"/>
                <w:lang w:eastAsia="zh-CN"/>
              </w:rPr>
              <w:t>监测</w:t>
            </w:r>
            <w:r>
              <w:rPr>
                <w:rFonts w:hint="default" w:ascii="Times New Roman" w:hAnsi="Times New Roman" w:eastAsia="宋体" w:cs="Times New Roman"/>
                <w:sz w:val="21"/>
                <w:szCs w:val="21"/>
                <w:highlight w:val="none"/>
                <w:lang w:val="en-US" w:eastAsia="zh-CN"/>
              </w:rPr>
              <w:t>1次</w:t>
            </w:r>
            <w:r>
              <w:rPr>
                <w:rFonts w:hint="default" w:ascii="Times New Roman" w:hAnsi="Times New Roman" w:eastAsia="宋体" w:cs="Times New Roman"/>
                <w:sz w:val="21"/>
                <w:szCs w:val="21"/>
                <w:highlight w:val="none"/>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15</w:t>
            </w:r>
          </w:p>
        </w:tc>
        <w:tc>
          <w:tcPr>
            <w:tcW w:w="0" w:type="auto"/>
            <w:tcBorders>
              <w:tl2br w:val="nil"/>
              <w:tr2bl w:val="nil"/>
            </w:tcBorders>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eastAsia="zh-CN"/>
              </w:rPr>
              <w:t>红袍泵站</w:t>
            </w:r>
          </w:p>
        </w:tc>
        <w:tc>
          <w:tcPr>
            <w:tcW w:w="2354"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1147" w:type="pct"/>
            <w:vMerge w:val="continue"/>
            <w:tcBorders>
              <w:tl2br w:val="nil"/>
              <w:tr2bl w:val="nil"/>
            </w:tcBorders>
            <w:vAlign w:val="center"/>
          </w:tcPr>
          <w:p>
            <w:pPr>
              <w:jc w:val="center"/>
              <w:rPr>
                <w:rFonts w:hint="default" w:ascii="Times New Roman" w:hAnsi="Times New Roman" w:eastAsia="宋体" w:cs="Times New Roman"/>
                <w:sz w:val="21"/>
                <w:szCs w:val="21"/>
                <w:highlight w:val="no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16</w:t>
            </w:r>
          </w:p>
        </w:tc>
        <w:tc>
          <w:tcPr>
            <w:tcW w:w="0" w:type="auto"/>
            <w:tcBorders>
              <w:tl2br w:val="nil"/>
              <w:tr2bl w:val="nil"/>
            </w:tcBorders>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eastAsia="zh-CN"/>
              </w:rPr>
              <w:t>中海寰宇泵站</w:t>
            </w:r>
          </w:p>
        </w:tc>
        <w:tc>
          <w:tcPr>
            <w:tcW w:w="2354"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1147" w:type="pct"/>
            <w:vMerge w:val="continue"/>
            <w:tcBorders>
              <w:tl2br w:val="nil"/>
              <w:tr2bl w:val="nil"/>
            </w:tcBorders>
            <w:vAlign w:val="center"/>
          </w:tcPr>
          <w:p>
            <w:pPr>
              <w:jc w:val="center"/>
              <w:rPr>
                <w:rFonts w:hint="default" w:ascii="Times New Roman" w:hAnsi="Times New Roman" w:eastAsia="宋体" w:cs="Times New Roman"/>
                <w:sz w:val="21"/>
                <w:szCs w:val="21"/>
                <w:highlight w:val="no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17</w:t>
            </w:r>
          </w:p>
        </w:tc>
        <w:tc>
          <w:tcPr>
            <w:tcW w:w="0" w:type="auto"/>
            <w:tcBorders>
              <w:tl2br w:val="nil"/>
              <w:tr2bl w:val="nil"/>
            </w:tcBorders>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eastAsia="zh-CN"/>
              </w:rPr>
              <w:t>中粮二期泵站</w:t>
            </w:r>
          </w:p>
        </w:tc>
        <w:tc>
          <w:tcPr>
            <w:tcW w:w="2354"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1147" w:type="pct"/>
            <w:vMerge w:val="continue"/>
            <w:tcBorders>
              <w:tl2br w:val="nil"/>
              <w:tr2bl w:val="nil"/>
            </w:tcBorders>
            <w:vAlign w:val="center"/>
          </w:tcPr>
          <w:p>
            <w:pPr>
              <w:jc w:val="center"/>
              <w:rPr>
                <w:rFonts w:hint="default" w:ascii="Times New Roman" w:hAnsi="Times New Roman" w:eastAsia="宋体" w:cs="Times New Roman"/>
                <w:sz w:val="21"/>
                <w:szCs w:val="21"/>
                <w:highlight w:val="no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18</w:t>
            </w:r>
          </w:p>
        </w:tc>
        <w:tc>
          <w:tcPr>
            <w:tcW w:w="0" w:type="auto"/>
            <w:tcBorders>
              <w:tl2br w:val="nil"/>
              <w:tr2bl w:val="nil"/>
            </w:tcBorders>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eastAsia="zh-CN"/>
              </w:rPr>
              <w:t>八号院泵站</w:t>
            </w:r>
          </w:p>
        </w:tc>
        <w:tc>
          <w:tcPr>
            <w:tcW w:w="2354"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1147" w:type="pct"/>
            <w:vMerge w:val="continue"/>
            <w:tcBorders>
              <w:tl2br w:val="nil"/>
              <w:tr2bl w:val="nil"/>
            </w:tcBorders>
            <w:vAlign w:val="center"/>
          </w:tcPr>
          <w:p>
            <w:pPr>
              <w:jc w:val="center"/>
              <w:rPr>
                <w:rFonts w:hint="default" w:ascii="Times New Roman" w:hAnsi="Times New Roman" w:eastAsia="宋体" w:cs="Times New Roman"/>
                <w:sz w:val="21"/>
                <w:szCs w:val="21"/>
                <w:highlight w:val="no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19</w:t>
            </w:r>
          </w:p>
        </w:tc>
        <w:tc>
          <w:tcPr>
            <w:tcW w:w="0" w:type="auto"/>
            <w:tcBorders>
              <w:tl2br w:val="nil"/>
              <w:tr2bl w:val="nil"/>
            </w:tcBorders>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eastAsia="zh-CN"/>
              </w:rPr>
              <w:t>陵北北区泵站</w:t>
            </w:r>
          </w:p>
        </w:tc>
        <w:tc>
          <w:tcPr>
            <w:tcW w:w="2354"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1147" w:type="pct"/>
            <w:vMerge w:val="continue"/>
            <w:tcBorders>
              <w:tl2br w:val="nil"/>
              <w:tr2bl w:val="nil"/>
            </w:tcBorders>
            <w:vAlign w:val="center"/>
          </w:tcPr>
          <w:p>
            <w:pPr>
              <w:jc w:val="center"/>
              <w:rPr>
                <w:rFonts w:hint="default" w:ascii="Times New Roman" w:hAnsi="Times New Roman" w:eastAsia="宋体" w:cs="Times New Roman"/>
                <w:sz w:val="21"/>
                <w:szCs w:val="21"/>
                <w:highlight w:val="none"/>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20</w:t>
            </w:r>
          </w:p>
        </w:tc>
        <w:tc>
          <w:tcPr>
            <w:tcW w:w="0" w:type="auto"/>
            <w:tcBorders>
              <w:tl2br w:val="nil"/>
              <w:tr2bl w:val="nil"/>
            </w:tcBorders>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eastAsia="zh-CN"/>
              </w:rPr>
              <w:t>兴建泵站</w:t>
            </w:r>
          </w:p>
        </w:tc>
        <w:tc>
          <w:tcPr>
            <w:tcW w:w="2354"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vertAlign w:val="superscript"/>
                <w:lang w:val="en-US" w:eastAsia="zh-CN"/>
              </w:rPr>
            </w:pPr>
          </w:p>
        </w:tc>
        <w:tc>
          <w:tcPr>
            <w:tcW w:w="1147" w:type="pct"/>
            <w:vMerge w:val="continue"/>
            <w:tcBorders>
              <w:tl2br w:val="nil"/>
              <w:tr2bl w:val="nil"/>
            </w:tcBorders>
            <w:vAlign w:val="center"/>
          </w:tcPr>
          <w:p>
            <w:pPr>
              <w:jc w:val="center"/>
              <w:rPr>
                <w:rFonts w:hint="default" w:ascii="Times New Roman" w:hAnsi="Times New Roman" w:eastAsia="宋体" w:cs="Times New Roman"/>
                <w:sz w:val="21"/>
                <w:szCs w:val="21"/>
                <w:highlight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1"/>
        <w:rPr>
          <w:rFonts w:hint="default" w:ascii="Times New Roman" w:hAnsi="Times New Roman" w:eastAsia="宋体" w:cs="Times New Roman"/>
          <w:b/>
          <w:bCs/>
          <w:kern w:val="0"/>
          <w:sz w:val="28"/>
          <w:szCs w:val="28"/>
          <w:highlight w:val="none"/>
        </w:rPr>
      </w:pPr>
      <w:r>
        <w:rPr>
          <w:rFonts w:hint="eastAsia" w:ascii="Times New Roman" w:hAnsi="Times New Roman" w:eastAsia="宋体" w:cs="Times New Roman"/>
          <w:b/>
          <w:bCs/>
          <w:kern w:val="0"/>
          <w:sz w:val="28"/>
          <w:szCs w:val="28"/>
          <w:highlight w:val="none"/>
          <w:lang w:val="en-US" w:eastAsia="zh-CN"/>
        </w:rPr>
        <w:t>2、</w:t>
      </w:r>
      <w:r>
        <w:rPr>
          <w:rFonts w:hint="default" w:ascii="Times New Roman" w:hAnsi="Times New Roman" w:eastAsia="宋体" w:cs="Times New Roman"/>
          <w:b/>
          <w:bCs/>
          <w:kern w:val="0"/>
          <w:sz w:val="28"/>
          <w:szCs w:val="28"/>
          <w:highlight w:val="none"/>
        </w:rPr>
        <w:t>检测项目、标准方法及检测仪器</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000000"/>
          <w:kern w:val="0"/>
          <w:sz w:val="24"/>
          <w:szCs w:val="24"/>
          <w:highlight w:val="none"/>
          <w:lang w:val="en-US" w:eastAsia="zh-CN" w:bidi="ar"/>
        </w:rPr>
      </w:pPr>
      <w:r>
        <w:rPr>
          <w:rFonts w:hint="eastAsia" w:ascii="Times New Roman" w:hAnsi="Times New Roman" w:eastAsia="宋体" w:cs="Times New Roman"/>
          <w:b w:val="0"/>
          <w:bCs w:val="0"/>
          <w:color w:val="000000"/>
          <w:kern w:val="0"/>
          <w:sz w:val="24"/>
          <w:szCs w:val="24"/>
          <w:highlight w:val="none"/>
          <w:lang w:val="en-US" w:eastAsia="zh-CN" w:bidi="ar"/>
        </w:rPr>
        <w:t>检测方法主要依据《</w:t>
      </w:r>
      <w:r>
        <w:rPr>
          <w:rFonts w:hint="default" w:ascii="Times New Roman" w:hAnsi="Times New Roman" w:eastAsia="宋体" w:cs="Times New Roman"/>
          <w:b w:val="0"/>
          <w:bCs w:val="0"/>
          <w:color w:val="000000"/>
          <w:kern w:val="0"/>
          <w:sz w:val="24"/>
          <w:szCs w:val="24"/>
          <w:highlight w:val="none"/>
          <w:lang w:val="en-US" w:eastAsia="zh-CN" w:bidi="ar"/>
        </w:rPr>
        <w:t>生活饮用水标准检验方法</w:t>
      </w:r>
      <w:r>
        <w:rPr>
          <w:rFonts w:hint="eastAsia" w:ascii="Times New Roman" w:hAnsi="Times New Roman" w:eastAsia="宋体" w:cs="Times New Roman"/>
          <w:b w:val="0"/>
          <w:bCs w:val="0"/>
          <w:color w:val="000000"/>
          <w:kern w:val="0"/>
          <w:sz w:val="24"/>
          <w:szCs w:val="24"/>
          <w:highlight w:val="none"/>
          <w:lang w:val="en-US" w:eastAsia="zh-CN" w:bidi="ar"/>
        </w:rPr>
        <w:t>》（</w:t>
      </w:r>
      <w:r>
        <w:rPr>
          <w:rFonts w:hint="default" w:ascii="Times New Roman" w:hAnsi="Times New Roman" w:eastAsia="宋体" w:cs="Times New Roman"/>
          <w:b w:val="0"/>
          <w:bCs w:val="0"/>
          <w:color w:val="000000"/>
          <w:kern w:val="0"/>
          <w:sz w:val="24"/>
          <w:szCs w:val="24"/>
          <w:highlight w:val="none"/>
          <w:lang w:val="en-US" w:eastAsia="zh-CN" w:bidi="ar"/>
        </w:rPr>
        <w:t>GB/T 5750-2023</w:t>
      </w:r>
      <w:r>
        <w:rPr>
          <w:rFonts w:hint="eastAsia" w:ascii="Times New Roman" w:hAnsi="Times New Roman" w:eastAsia="宋体" w:cs="Times New Roman"/>
          <w:b w:val="0"/>
          <w:bCs w:val="0"/>
          <w:color w:val="000000"/>
          <w:kern w:val="0"/>
          <w:sz w:val="24"/>
          <w:szCs w:val="24"/>
          <w:highlight w:val="none"/>
          <w:lang w:val="en-US" w:eastAsia="zh-CN" w:bidi="ar"/>
        </w:rPr>
        <w:t>）开展，所用检测仪器均经检定/校准合格，并在有效期内，具体情况详见表2。</w:t>
      </w:r>
    </w:p>
    <w:tbl>
      <w:tblPr>
        <w:tblStyle w:val="15"/>
        <w:tblW w:w="0" w:type="auto"/>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7"/>
        <w:gridCol w:w="712"/>
        <w:gridCol w:w="713"/>
        <w:gridCol w:w="3253"/>
        <w:gridCol w:w="2470"/>
        <w:gridCol w:w="1104"/>
        <w:gridCol w:w="1027"/>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37" w:type="dxa"/>
            <w:tcBorders>
              <w:tl2br w:val="nil"/>
              <w:tr2bl w:val="nil"/>
            </w:tcBorders>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425" w:type="dxa"/>
            <w:gridSpan w:val="2"/>
            <w:tcBorders>
              <w:tl2br w:val="nil"/>
              <w:tr2bl w:val="nil"/>
            </w:tcBorders>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检测项目</w:t>
            </w:r>
          </w:p>
        </w:tc>
        <w:tc>
          <w:tcPr>
            <w:tcW w:w="3253" w:type="dxa"/>
            <w:tcBorders>
              <w:tl2br w:val="nil"/>
              <w:tr2bl w:val="nil"/>
            </w:tcBorders>
            <w:noWrap w:val="0"/>
            <w:vAlign w:val="center"/>
          </w:tcPr>
          <w:p>
            <w:pPr>
              <w:widowControl/>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检测标准（方法）</w:t>
            </w:r>
          </w:p>
        </w:tc>
        <w:tc>
          <w:tcPr>
            <w:tcW w:w="2470" w:type="dxa"/>
            <w:tcBorders>
              <w:tl2br w:val="nil"/>
              <w:tr2bl w:val="nil"/>
            </w:tcBorders>
            <w:noWrap w:val="0"/>
            <w:vAlign w:val="center"/>
          </w:tcPr>
          <w:p>
            <w:pPr>
              <w:widowControl/>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bidi="ar"/>
              </w:rPr>
              <w:t>分析仪器名称/型号/编号</w:t>
            </w:r>
          </w:p>
        </w:tc>
        <w:tc>
          <w:tcPr>
            <w:tcW w:w="1104" w:type="dxa"/>
            <w:tcBorders>
              <w:tl2br w:val="nil"/>
              <w:tr2bl w:val="nil"/>
            </w:tcBorders>
            <w:noWrap w:val="0"/>
            <w:vAlign w:val="center"/>
          </w:tcPr>
          <w:p>
            <w:pPr>
              <w:widowControl/>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检出限</w:t>
            </w:r>
          </w:p>
        </w:tc>
        <w:tc>
          <w:tcPr>
            <w:tcW w:w="1027" w:type="dxa"/>
            <w:tcBorders>
              <w:tl2br w:val="nil"/>
              <w:tr2bl w:val="nil"/>
            </w:tcBorders>
            <w:noWrap w:val="0"/>
            <w:vAlign w:val="center"/>
          </w:tcPr>
          <w:p>
            <w:pPr>
              <w:widowControl/>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bidi="ar"/>
              </w:rPr>
              <w:t>单位</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637" w:type="dxa"/>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1425" w:type="dxa"/>
            <w:gridSpan w:val="2"/>
            <w:tcBorders>
              <w:tl2br w:val="nil"/>
              <w:tr2bl w:val="nil"/>
            </w:tcBorders>
            <w:noWrap w:val="0"/>
            <w:vAlign w:val="center"/>
          </w:tcPr>
          <w:p>
            <w:pPr>
              <w:autoSpaceDN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总大肠菌群</w:t>
            </w:r>
          </w:p>
        </w:tc>
        <w:tc>
          <w:tcPr>
            <w:tcW w:w="3253" w:type="dxa"/>
            <w:tcBorders>
              <w:tl2br w:val="nil"/>
              <w:tr2bl w:val="nil"/>
            </w:tcBorders>
            <w:noWrap w:val="0"/>
            <w:vAlign w:val="center"/>
          </w:tcPr>
          <w:p>
            <w:pPr>
              <w:autoSpaceDN w:val="0"/>
              <w:spacing w:line="280" w:lineRule="exact"/>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生活饮用水标准检验方法 第12部分：微生物指标</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GB/T 5750.12-2023</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5.1 多管发酵法</w:t>
            </w:r>
          </w:p>
        </w:tc>
        <w:tc>
          <w:tcPr>
            <w:tcW w:w="247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生化培养箱</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sz w:val="21"/>
                <w:szCs w:val="21"/>
                <w:highlight w:val="none"/>
              </w:rPr>
              <w:t>LRH-150B   SYZZ-SB-005-02</w:t>
            </w:r>
          </w:p>
        </w:tc>
        <w:tc>
          <w:tcPr>
            <w:tcW w:w="1104" w:type="dxa"/>
            <w:tcBorders>
              <w:tl2br w:val="nil"/>
              <w:tr2bl w:val="nil"/>
            </w:tcBorders>
            <w:noWrap w:val="0"/>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w:t>
            </w:r>
          </w:p>
        </w:tc>
        <w:tc>
          <w:tcPr>
            <w:tcW w:w="1027" w:type="dxa"/>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MPN</w:t>
            </w:r>
          </w:p>
          <w:p>
            <w:pPr>
              <w:widowControl/>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bidi="ar"/>
              </w:rPr>
              <w:t>/100m</w:t>
            </w:r>
            <w:r>
              <w:rPr>
                <w:rFonts w:hint="default" w:ascii="Times New Roman" w:hAnsi="Times New Roman" w:eastAsia="宋体" w:cs="Times New Roman"/>
                <w:color w:val="auto"/>
                <w:kern w:val="0"/>
                <w:sz w:val="21"/>
                <w:szCs w:val="21"/>
                <w:highlight w:val="none"/>
                <w:lang w:val="en-US" w:eastAsia="zh-CN" w:bidi="ar"/>
              </w:rPr>
              <w:t>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637" w:type="dxa"/>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p>
        </w:tc>
        <w:tc>
          <w:tcPr>
            <w:tcW w:w="1425" w:type="dxa"/>
            <w:gridSpan w:val="2"/>
            <w:tcBorders>
              <w:tl2br w:val="nil"/>
              <w:tr2bl w:val="nil"/>
            </w:tcBorders>
            <w:noWrap w:val="0"/>
            <w:vAlign w:val="center"/>
          </w:tcPr>
          <w:p>
            <w:pPr>
              <w:autoSpaceDN w:val="0"/>
              <w:spacing w:line="260" w:lineRule="exact"/>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color w:val="auto"/>
                <w:sz w:val="21"/>
                <w:szCs w:val="21"/>
                <w:highlight w:val="none"/>
              </w:rPr>
              <w:t>大肠埃希氏菌</w:t>
            </w:r>
          </w:p>
        </w:tc>
        <w:tc>
          <w:tcPr>
            <w:tcW w:w="3253" w:type="dxa"/>
            <w:tcBorders>
              <w:tl2br w:val="nil"/>
              <w:tr2bl w:val="nil"/>
            </w:tcBorders>
            <w:noWrap w:val="0"/>
            <w:vAlign w:val="center"/>
          </w:tcPr>
          <w:p>
            <w:pPr>
              <w:autoSpaceDN w:val="0"/>
              <w:spacing w:line="280" w:lineRule="exact"/>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color w:val="auto"/>
                <w:sz w:val="21"/>
                <w:szCs w:val="21"/>
                <w:highlight w:val="none"/>
                <w:lang w:val="en-US" w:eastAsia="zh-CN"/>
              </w:rPr>
              <w:t>生活饮用水标准检验方法 第12部分：微生物指标</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GB/T 5750.12-2023</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7.1 多管发酵法</w:t>
            </w:r>
          </w:p>
        </w:tc>
        <w:tc>
          <w:tcPr>
            <w:tcW w:w="247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生化培养箱</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sz w:val="21"/>
                <w:szCs w:val="21"/>
                <w:highlight w:val="none"/>
              </w:rPr>
              <w:t>LRH-150B   SYZZ-SB-005-02</w:t>
            </w:r>
          </w:p>
        </w:tc>
        <w:tc>
          <w:tcPr>
            <w:tcW w:w="1104" w:type="dxa"/>
            <w:tcBorders>
              <w:tl2br w:val="nil"/>
              <w:tr2bl w:val="nil"/>
            </w:tcBorders>
            <w:noWrap w:val="0"/>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w:t>
            </w:r>
          </w:p>
        </w:tc>
        <w:tc>
          <w:tcPr>
            <w:tcW w:w="1027" w:type="dxa"/>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bidi="ar"/>
              </w:rPr>
              <w:t>MPN</w:t>
            </w:r>
          </w:p>
          <w:p>
            <w:pPr>
              <w:widowControl/>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bidi="ar"/>
              </w:rPr>
              <w:t>/100m</w:t>
            </w:r>
            <w:r>
              <w:rPr>
                <w:rFonts w:hint="default" w:ascii="Times New Roman" w:hAnsi="Times New Roman" w:eastAsia="宋体" w:cs="Times New Roman"/>
                <w:color w:val="auto"/>
                <w:kern w:val="0"/>
                <w:sz w:val="21"/>
                <w:szCs w:val="21"/>
                <w:highlight w:val="none"/>
                <w:lang w:val="en-US" w:eastAsia="zh-CN" w:bidi="ar"/>
              </w:rPr>
              <w:t>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637" w:type="dxa"/>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w:t>
            </w:r>
          </w:p>
        </w:tc>
        <w:tc>
          <w:tcPr>
            <w:tcW w:w="1425" w:type="dxa"/>
            <w:gridSpan w:val="2"/>
            <w:tcBorders>
              <w:tl2br w:val="nil"/>
              <w:tr2bl w:val="nil"/>
            </w:tcBorders>
            <w:noWrap w:val="0"/>
            <w:vAlign w:val="center"/>
          </w:tcPr>
          <w:p>
            <w:pPr>
              <w:autoSpaceDN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菌落总数</w:t>
            </w:r>
          </w:p>
        </w:tc>
        <w:tc>
          <w:tcPr>
            <w:tcW w:w="3253" w:type="dxa"/>
            <w:tcBorders>
              <w:tl2br w:val="nil"/>
              <w:tr2bl w:val="nil"/>
            </w:tcBorders>
            <w:noWrap w:val="0"/>
            <w:vAlign w:val="center"/>
          </w:tcPr>
          <w:p>
            <w:pPr>
              <w:autoSpaceDN w:val="0"/>
              <w:spacing w:line="280" w:lineRule="exact"/>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生活饮用水标准检验方法 第12部分：微生物指标</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GB/T 5750.12-2023</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4.1 平皿计数法</w:t>
            </w:r>
          </w:p>
        </w:tc>
        <w:tc>
          <w:tcPr>
            <w:tcW w:w="247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生化培养箱</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sz w:val="21"/>
                <w:szCs w:val="21"/>
              </w:rPr>
              <w:t>LRH-150B   SYZZ-SB-005-02</w:t>
            </w:r>
          </w:p>
        </w:tc>
        <w:tc>
          <w:tcPr>
            <w:tcW w:w="1104" w:type="dxa"/>
            <w:tcBorders>
              <w:tl2br w:val="nil"/>
              <w:tr2bl w:val="nil"/>
            </w:tcBorders>
            <w:noWrap w:val="0"/>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w:t>
            </w:r>
          </w:p>
        </w:tc>
        <w:tc>
          <w:tcPr>
            <w:tcW w:w="1027" w:type="dxa"/>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kern w:val="0"/>
                <w:sz w:val="21"/>
                <w:szCs w:val="21"/>
                <w:lang w:bidi="ar"/>
              </w:rPr>
              <w:t>CFU/mL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637" w:type="dxa"/>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w:t>
            </w:r>
          </w:p>
        </w:tc>
        <w:tc>
          <w:tcPr>
            <w:tcW w:w="1425" w:type="dxa"/>
            <w:gridSpan w:val="2"/>
            <w:tcBorders>
              <w:tl2br w:val="nil"/>
              <w:tr2bl w:val="nil"/>
            </w:tcBorders>
            <w:noWrap w:val="0"/>
            <w:vAlign w:val="center"/>
          </w:tcPr>
          <w:p>
            <w:pPr>
              <w:adjustRightInd w:val="0"/>
              <w:snapToGrid w:val="0"/>
              <w:spacing w:line="256"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砷</w:t>
            </w:r>
          </w:p>
        </w:tc>
        <w:tc>
          <w:tcPr>
            <w:tcW w:w="3253" w:type="dxa"/>
            <w:tcBorders>
              <w:tl2br w:val="nil"/>
              <w:tr2bl w:val="nil"/>
            </w:tcBorders>
            <w:noWrap w:val="0"/>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第6部分：金属和类金属指标</w:t>
            </w:r>
          </w:p>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5750.6-2023</w:t>
            </w:r>
          </w:p>
          <w:p>
            <w:pPr>
              <w:autoSpaceDN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9.1 氢化物原子荧光法</w:t>
            </w:r>
          </w:p>
        </w:tc>
        <w:tc>
          <w:tcPr>
            <w:tcW w:w="2470" w:type="dxa"/>
            <w:tcBorders>
              <w:tl2br w:val="nil"/>
              <w:tr2bl w:val="nil"/>
            </w:tcBorders>
            <w:noWrap w:val="0"/>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原子荧光光</w:t>
            </w:r>
            <w:r>
              <w:rPr>
                <w:rFonts w:hint="default" w:ascii="Times New Roman" w:hAnsi="Times New Roman" w:eastAsia="宋体" w:cs="Times New Roman"/>
                <w:color w:val="auto"/>
                <w:sz w:val="21"/>
                <w:szCs w:val="21"/>
                <w:highlight w:val="none"/>
                <w:lang w:val="en-US" w:eastAsia="zh-CN"/>
              </w:rPr>
              <w:t>度计</w:t>
            </w:r>
          </w:p>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AFS-8510</w:t>
            </w:r>
          </w:p>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val="en-US" w:eastAsia="zh-CN"/>
              </w:rPr>
              <w:t>SYZZ-SB-044-02</w:t>
            </w:r>
          </w:p>
        </w:tc>
        <w:tc>
          <w:tcPr>
            <w:tcW w:w="1104" w:type="dxa"/>
            <w:tcBorders>
              <w:tl2br w:val="nil"/>
              <w:tr2bl w:val="nil"/>
            </w:tcBorders>
            <w:noWrap w:val="0"/>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1.0</w:t>
            </w:r>
          </w:p>
        </w:tc>
        <w:tc>
          <w:tcPr>
            <w:tcW w:w="1027" w:type="dxa"/>
            <w:tcBorders>
              <w:tl2br w:val="nil"/>
              <w:tr2bl w:val="nil"/>
            </w:tcBorders>
            <w:noWrap w:val="0"/>
            <w:vAlign w:val="center"/>
          </w:tcPr>
          <w:p>
            <w:pPr>
              <w:keepNext w:val="0"/>
              <w:keepLines w:val="0"/>
              <w:pageBreakBefore w:val="0"/>
              <w:kinsoku/>
              <w:wordWrap/>
              <w:overflowPunct/>
              <w:topLinePunct w:val="0"/>
              <w:autoSpaceDE/>
              <w:autoSpaceDN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b w:val="0"/>
                <w:i w:val="0"/>
                <w:snapToGrid/>
                <w:color w:val="auto"/>
                <w:sz w:val="21"/>
                <w:szCs w:val="21"/>
                <w:highlight w:val="none"/>
                <w:u w:val="none"/>
                <w:lang w:val="en-US" w:eastAsia="zh-CN"/>
              </w:rPr>
              <w:t>μ</w:t>
            </w:r>
            <w:r>
              <w:rPr>
                <w:rFonts w:hint="default" w:ascii="Times New Roman" w:hAnsi="Times New Roman" w:eastAsia="宋体" w:cs="Times New Roman"/>
                <w:b w:val="0"/>
                <w:i w:val="0"/>
                <w:snapToGrid/>
                <w:color w:val="auto"/>
                <w:sz w:val="21"/>
                <w:szCs w:val="21"/>
                <w:highlight w:val="none"/>
                <w:u w:val="none"/>
                <w:lang w:eastAsia="zh-CN"/>
              </w:rPr>
              <w:t>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637" w:type="dxa"/>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w:t>
            </w:r>
          </w:p>
        </w:tc>
        <w:tc>
          <w:tcPr>
            <w:tcW w:w="1425" w:type="dxa"/>
            <w:gridSpan w:val="2"/>
            <w:tcBorders>
              <w:tl2br w:val="nil"/>
              <w:tr2bl w:val="nil"/>
            </w:tcBorders>
            <w:noWrap w:val="0"/>
            <w:vAlign w:val="center"/>
          </w:tcPr>
          <w:p>
            <w:pPr>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eastAsia="宋体" w:cs="Times New Roman"/>
                <w:sz w:val="21"/>
                <w:szCs w:val="21"/>
                <w:highlight w:val="none"/>
                <w:vertAlign w:val="baseline"/>
                <w:lang w:val="en-US" w:eastAsia="zh-CN"/>
              </w:rPr>
              <w:t>镉</w:t>
            </w:r>
          </w:p>
        </w:tc>
        <w:tc>
          <w:tcPr>
            <w:tcW w:w="3253" w:type="dxa"/>
            <w:tcBorders>
              <w:tl2br w:val="nil"/>
              <w:tr2bl w:val="nil"/>
            </w:tcBorders>
            <w:noWrap w:val="0"/>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第6部分：金属和类金属指标</w:t>
            </w:r>
          </w:p>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5750.6-2023</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12.1 无火焰原子吸收分光光度法</w:t>
            </w:r>
          </w:p>
        </w:tc>
        <w:tc>
          <w:tcPr>
            <w:tcW w:w="247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原子吸收分光光度计</w:t>
            </w:r>
          </w:p>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GGX-830</w:t>
            </w:r>
          </w:p>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SYZZ-SB-029-02</w:t>
            </w:r>
          </w:p>
        </w:tc>
        <w:tc>
          <w:tcPr>
            <w:tcW w:w="110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0.5</w:t>
            </w:r>
          </w:p>
        </w:tc>
        <w:tc>
          <w:tcPr>
            <w:tcW w:w="102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μg/L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637" w:type="dxa"/>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w:t>
            </w:r>
          </w:p>
        </w:tc>
        <w:tc>
          <w:tcPr>
            <w:tcW w:w="1425" w:type="dxa"/>
            <w:gridSpan w:val="2"/>
            <w:tcBorders>
              <w:tl2br w:val="nil"/>
              <w:tr2bl w:val="nil"/>
            </w:tcBorders>
            <w:noWrap w:val="0"/>
            <w:vAlign w:val="center"/>
          </w:tcPr>
          <w:p>
            <w:pPr>
              <w:adjustRightInd w:val="0"/>
              <w:snapToGrid w:val="0"/>
              <w:spacing w:line="256"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铬（六价）</w:t>
            </w:r>
          </w:p>
        </w:tc>
        <w:tc>
          <w:tcPr>
            <w:tcW w:w="3253" w:type="dxa"/>
            <w:tcBorders>
              <w:tl2br w:val="nil"/>
              <w:tr2bl w:val="nil"/>
            </w:tcBorders>
            <w:noWrap w:val="0"/>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第6部分：金属和类金属指标</w:t>
            </w:r>
          </w:p>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5750.6-2023</w:t>
            </w:r>
          </w:p>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13.1 二苯碳酰二肼分光光度法</w:t>
            </w:r>
          </w:p>
        </w:tc>
        <w:tc>
          <w:tcPr>
            <w:tcW w:w="2470" w:type="dxa"/>
            <w:tcBorders>
              <w:tl2br w:val="nil"/>
              <w:tr2bl w:val="nil"/>
            </w:tcBorders>
            <w:noWrap w:val="0"/>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紫外可见分光光度计</w:t>
            </w:r>
          </w:p>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T6新世纪</w:t>
            </w:r>
          </w:p>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SYZZ-SB-028-02</w:t>
            </w:r>
          </w:p>
        </w:tc>
        <w:tc>
          <w:tcPr>
            <w:tcW w:w="1104" w:type="dxa"/>
            <w:tcBorders>
              <w:tl2br w:val="nil"/>
              <w:tr2bl w:val="nil"/>
            </w:tcBorders>
            <w:noWrap w:val="0"/>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color w:val="auto"/>
                <w:sz w:val="21"/>
                <w:szCs w:val="21"/>
                <w:highlight w:val="none"/>
                <w:vertAlign w:val="baseline"/>
                <w:lang w:val="en-US" w:eastAsia="zh-CN"/>
              </w:rPr>
              <w:t>0.004</w:t>
            </w:r>
          </w:p>
        </w:tc>
        <w:tc>
          <w:tcPr>
            <w:tcW w:w="1027" w:type="dxa"/>
            <w:tcBorders>
              <w:tl2br w:val="nil"/>
              <w:tr2bl w:val="nil"/>
            </w:tcBorders>
            <w:noWrap w:val="0"/>
            <w:vAlign w:val="center"/>
          </w:tcPr>
          <w:p>
            <w:pPr>
              <w:keepNext w:val="0"/>
              <w:keepLines w:val="0"/>
              <w:pageBreakBefore w:val="0"/>
              <w:kinsoku/>
              <w:wordWrap/>
              <w:overflowPunct/>
              <w:topLinePunct w:val="0"/>
              <w:autoSpaceDE/>
              <w:autoSpaceDN w:val="0"/>
              <w:bidi w:val="0"/>
              <w:spacing w:line="240" w:lineRule="auto"/>
              <w:ind w:right="0" w:rightChars="0"/>
              <w:jc w:val="center"/>
              <w:textAlignment w:val="center"/>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b w:val="0"/>
                <w:i w:val="0"/>
                <w:snapToGrid/>
                <w:color w:val="auto"/>
                <w:sz w:val="21"/>
                <w:szCs w:val="21"/>
                <w:highlight w:val="none"/>
                <w:u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637" w:type="dxa"/>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w:t>
            </w:r>
          </w:p>
        </w:tc>
        <w:tc>
          <w:tcPr>
            <w:tcW w:w="1425" w:type="dxa"/>
            <w:gridSpan w:val="2"/>
            <w:tcBorders>
              <w:tl2br w:val="nil"/>
              <w:tr2bl w:val="nil"/>
            </w:tcBorders>
            <w:noWrap w:val="0"/>
            <w:vAlign w:val="center"/>
          </w:tcPr>
          <w:p>
            <w:pPr>
              <w:adjustRightInd w:val="0"/>
              <w:snapToGrid w:val="0"/>
              <w:spacing w:line="256"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铅</w:t>
            </w:r>
          </w:p>
        </w:tc>
        <w:tc>
          <w:tcPr>
            <w:tcW w:w="3253" w:type="dxa"/>
            <w:tcBorders>
              <w:tl2br w:val="nil"/>
              <w:tr2bl w:val="nil"/>
            </w:tcBorders>
            <w:noWrap w:val="0"/>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第6部分：金属和类金属指标</w:t>
            </w:r>
          </w:p>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5750.6-2023</w:t>
            </w:r>
          </w:p>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14.1 无火焰原子吸收分光光度法</w:t>
            </w:r>
          </w:p>
        </w:tc>
        <w:tc>
          <w:tcPr>
            <w:tcW w:w="2470" w:type="dxa"/>
            <w:tcBorders>
              <w:tl2br w:val="nil"/>
              <w:tr2bl w:val="nil"/>
            </w:tcBorders>
            <w:noWrap w:val="0"/>
            <w:vAlign w:val="center"/>
          </w:tcPr>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原子吸收分光光度计</w:t>
            </w:r>
          </w:p>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GGX-830</w:t>
            </w:r>
          </w:p>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SYZZ-SB-029-02</w:t>
            </w:r>
          </w:p>
        </w:tc>
        <w:tc>
          <w:tcPr>
            <w:tcW w:w="1104"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2.5</w:t>
            </w:r>
          </w:p>
        </w:tc>
        <w:tc>
          <w:tcPr>
            <w:tcW w:w="102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μg/L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637" w:type="dxa"/>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8</w:t>
            </w:r>
          </w:p>
        </w:tc>
        <w:tc>
          <w:tcPr>
            <w:tcW w:w="1425" w:type="dxa"/>
            <w:gridSpan w:val="2"/>
            <w:tcBorders>
              <w:tl2br w:val="nil"/>
              <w:tr2bl w:val="nil"/>
            </w:tcBorders>
            <w:noWrap w:val="0"/>
            <w:vAlign w:val="center"/>
          </w:tcPr>
          <w:p>
            <w:pPr>
              <w:adjustRightInd w:val="0"/>
              <w:snapToGrid w:val="0"/>
              <w:spacing w:line="256"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汞</w:t>
            </w:r>
          </w:p>
        </w:tc>
        <w:tc>
          <w:tcPr>
            <w:tcW w:w="3253" w:type="dxa"/>
            <w:tcBorders>
              <w:tl2br w:val="nil"/>
              <w:tr2bl w:val="nil"/>
            </w:tcBorders>
            <w:noWrap w:val="0"/>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第6部分：金属和类金属指标</w:t>
            </w:r>
          </w:p>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5750.6-2023</w:t>
            </w:r>
          </w:p>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11.1 原子荧光法</w:t>
            </w:r>
          </w:p>
        </w:tc>
        <w:tc>
          <w:tcPr>
            <w:tcW w:w="2470" w:type="dxa"/>
            <w:tcBorders>
              <w:tl2br w:val="nil"/>
              <w:tr2bl w:val="nil"/>
            </w:tcBorders>
            <w:noWrap w:val="0"/>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原子荧光光</w:t>
            </w:r>
            <w:r>
              <w:rPr>
                <w:rFonts w:hint="default" w:ascii="Times New Roman" w:hAnsi="Times New Roman" w:eastAsia="宋体" w:cs="Times New Roman"/>
                <w:color w:val="auto"/>
                <w:sz w:val="21"/>
                <w:szCs w:val="21"/>
                <w:highlight w:val="none"/>
                <w:lang w:val="en-US" w:eastAsia="zh-CN"/>
              </w:rPr>
              <w:t>度计</w:t>
            </w:r>
          </w:p>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AFS-8510</w:t>
            </w:r>
          </w:p>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SYZZ-SB-044-02</w:t>
            </w:r>
          </w:p>
        </w:tc>
        <w:tc>
          <w:tcPr>
            <w:tcW w:w="1104" w:type="dxa"/>
            <w:tcBorders>
              <w:tl2br w:val="nil"/>
              <w:tr2bl w:val="nil"/>
            </w:tcBorders>
            <w:noWrap w:val="0"/>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0.1</w:t>
            </w:r>
          </w:p>
        </w:tc>
        <w:tc>
          <w:tcPr>
            <w:tcW w:w="1027" w:type="dxa"/>
            <w:tcBorders>
              <w:tl2br w:val="nil"/>
              <w:tr2bl w:val="nil"/>
            </w:tcBorders>
            <w:noWrap w:val="0"/>
            <w:vAlign w:val="center"/>
          </w:tcPr>
          <w:p>
            <w:pPr>
              <w:keepNext w:val="0"/>
              <w:keepLines w:val="0"/>
              <w:pageBreakBefore w:val="0"/>
              <w:kinsoku/>
              <w:wordWrap/>
              <w:overflowPunct/>
              <w:topLinePunct w:val="0"/>
              <w:autoSpaceDE/>
              <w:autoSpaceDN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b w:val="0"/>
                <w:i w:val="0"/>
                <w:snapToGrid/>
                <w:color w:val="auto"/>
                <w:sz w:val="21"/>
                <w:szCs w:val="21"/>
                <w:highlight w:val="none"/>
                <w:u w:val="none"/>
                <w:lang w:val="en-US" w:eastAsia="zh-CN"/>
              </w:rPr>
              <w:t>μ</w:t>
            </w:r>
            <w:r>
              <w:rPr>
                <w:rFonts w:hint="default" w:ascii="Times New Roman" w:hAnsi="Times New Roman" w:eastAsia="宋体" w:cs="Times New Roman"/>
                <w:b w:val="0"/>
                <w:i w:val="0"/>
                <w:snapToGrid/>
                <w:color w:val="auto"/>
                <w:sz w:val="21"/>
                <w:szCs w:val="21"/>
                <w:highlight w:val="none"/>
                <w:u w:val="none"/>
                <w:lang w:eastAsia="zh-CN"/>
              </w:rPr>
              <w:t>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637" w:type="dxa"/>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9</w:t>
            </w:r>
          </w:p>
        </w:tc>
        <w:tc>
          <w:tcPr>
            <w:tcW w:w="1425" w:type="dxa"/>
            <w:gridSpan w:val="2"/>
            <w:tcBorders>
              <w:tl2br w:val="nil"/>
              <w:tr2bl w:val="nil"/>
            </w:tcBorders>
            <w:noWrap w:val="0"/>
            <w:vAlign w:val="center"/>
          </w:tcPr>
          <w:p>
            <w:pPr>
              <w:adjustRightInd w:val="0"/>
              <w:snapToGrid w:val="0"/>
              <w:spacing w:line="260" w:lineRule="exact"/>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eastAsia="宋体" w:cs="Times New Roman"/>
                <w:color w:val="auto"/>
                <w:sz w:val="21"/>
                <w:szCs w:val="21"/>
                <w:highlight w:val="none"/>
              </w:rPr>
              <w:t>氰化物</w:t>
            </w:r>
          </w:p>
        </w:tc>
        <w:tc>
          <w:tcPr>
            <w:tcW w:w="3253" w:type="dxa"/>
            <w:tcBorders>
              <w:tl2br w:val="nil"/>
              <w:tr2bl w:val="nil"/>
            </w:tcBorders>
            <w:noWrap w:val="0"/>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第5部分：无机非金属指标</w:t>
            </w:r>
          </w:p>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5750.5-2023</w:t>
            </w:r>
          </w:p>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7.1 异烟酸-吡唑啉酮分光光度法</w:t>
            </w:r>
          </w:p>
        </w:tc>
        <w:tc>
          <w:tcPr>
            <w:tcW w:w="2470" w:type="dxa"/>
            <w:tcBorders>
              <w:tl2br w:val="nil"/>
              <w:tr2bl w:val="nil"/>
            </w:tcBorders>
            <w:noWrap w:val="0"/>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紫外可见分光光度计</w:t>
            </w:r>
          </w:p>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T6新世纪</w:t>
            </w:r>
          </w:p>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SYZZ-SB-028-02</w:t>
            </w:r>
          </w:p>
        </w:tc>
        <w:tc>
          <w:tcPr>
            <w:tcW w:w="1104" w:type="dxa"/>
            <w:tcBorders>
              <w:tl2br w:val="nil"/>
              <w:tr2bl w:val="nil"/>
            </w:tcBorders>
            <w:noWrap w:val="0"/>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color w:val="auto"/>
                <w:sz w:val="21"/>
                <w:szCs w:val="21"/>
                <w:highlight w:val="none"/>
                <w:vertAlign w:val="baseline"/>
                <w:lang w:val="en-US" w:eastAsia="zh-CN"/>
              </w:rPr>
              <w:t>0.002</w:t>
            </w:r>
          </w:p>
        </w:tc>
        <w:tc>
          <w:tcPr>
            <w:tcW w:w="1027" w:type="dxa"/>
            <w:tcBorders>
              <w:tl2br w:val="nil"/>
              <w:tr2bl w:val="nil"/>
            </w:tcBorders>
            <w:noWrap w:val="0"/>
            <w:vAlign w:val="center"/>
          </w:tcPr>
          <w:p>
            <w:pPr>
              <w:keepNext w:val="0"/>
              <w:keepLines w:val="0"/>
              <w:pageBreakBefore w:val="0"/>
              <w:kinsoku/>
              <w:wordWrap/>
              <w:overflowPunct/>
              <w:topLinePunct w:val="0"/>
              <w:autoSpaceDE/>
              <w:autoSpaceDN w:val="0"/>
              <w:bidi w:val="0"/>
              <w:spacing w:line="240" w:lineRule="auto"/>
              <w:ind w:right="0" w:rightChars="0"/>
              <w:jc w:val="center"/>
              <w:textAlignment w:val="center"/>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b w:val="0"/>
                <w:i w:val="0"/>
                <w:snapToGrid/>
                <w:color w:val="auto"/>
                <w:sz w:val="21"/>
                <w:szCs w:val="21"/>
                <w:highlight w:val="none"/>
                <w:u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637" w:type="dxa"/>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p>
        </w:tc>
        <w:tc>
          <w:tcPr>
            <w:tcW w:w="1425" w:type="dxa"/>
            <w:gridSpan w:val="2"/>
            <w:tcBorders>
              <w:tl2br w:val="nil"/>
              <w:tr2bl w:val="nil"/>
            </w:tcBorders>
            <w:noWrap w:val="0"/>
            <w:vAlign w:val="center"/>
          </w:tcPr>
          <w:p>
            <w:pPr>
              <w:jc w:val="center"/>
              <w:rPr>
                <w:rFonts w:hint="default" w:ascii="Times New Roman" w:hAnsi="Times New Roman" w:eastAsia="宋体" w:cs="Times New Roman"/>
                <w:sz w:val="21"/>
                <w:szCs w:val="21"/>
                <w:highlight w:val="none"/>
                <w:vertAlign w:val="baseline"/>
                <w:lang w:val="en-US" w:eastAsia="zh-CN" w:bidi="ar-SA"/>
              </w:rPr>
            </w:pPr>
            <w:r>
              <w:rPr>
                <w:rFonts w:hint="default" w:ascii="Times New Roman" w:hAnsi="Times New Roman" w:eastAsia="宋体" w:cs="Times New Roman"/>
                <w:sz w:val="21"/>
                <w:szCs w:val="21"/>
                <w:highlight w:val="none"/>
                <w:vertAlign w:val="baseline"/>
                <w:lang w:val="en-US" w:eastAsia="zh-CN"/>
              </w:rPr>
              <w:t>氟化物</w:t>
            </w:r>
          </w:p>
        </w:tc>
        <w:tc>
          <w:tcPr>
            <w:tcW w:w="3253" w:type="dxa"/>
            <w:tcBorders>
              <w:tl2br w:val="nil"/>
              <w:tr2bl w:val="nil"/>
            </w:tcBorders>
            <w:noWrap w:val="0"/>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第5部分：无机非金属指标</w:t>
            </w:r>
          </w:p>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5750.5-2023</w:t>
            </w:r>
          </w:p>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6.3 氟试剂分光光度法</w:t>
            </w:r>
          </w:p>
        </w:tc>
        <w:tc>
          <w:tcPr>
            <w:tcW w:w="2470" w:type="dxa"/>
            <w:tcBorders>
              <w:tl2br w:val="nil"/>
              <w:tr2bl w:val="nil"/>
            </w:tcBorders>
            <w:noWrap w:val="0"/>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紫外可见分光光度计</w:t>
            </w:r>
          </w:p>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T6新世纪</w:t>
            </w:r>
          </w:p>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SYZZ-SB-028-02</w:t>
            </w:r>
          </w:p>
        </w:tc>
        <w:tc>
          <w:tcPr>
            <w:tcW w:w="1104" w:type="dxa"/>
            <w:tcBorders>
              <w:tl2br w:val="nil"/>
              <w:tr2bl w:val="nil"/>
            </w:tcBorders>
            <w:noWrap w:val="0"/>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vertAlign w:val="baseline"/>
                <w:lang w:val="en-US" w:eastAsia="zh-CN"/>
              </w:rPr>
              <w:t>0.1</w:t>
            </w:r>
          </w:p>
        </w:tc>
        <w:tc>
          <w:tcPr>
            <w:tcW w:w="1027" w:type="dxa"/>
            <w:tcBorders>
              <w:tl2br w:val="nil"/>
              <w:tr2bl w:val="nil"/>
            </w:tcBorders>
            <w:noWrap w:val="0"/>
            <w:vAlign w:val="center"/>
          </w:tcPr>
          <w:p>
            <w:pPr>
              <w:keepNext w:val="0"/>
              <w:keepLines w:val="0"/>
              <w:pageBreakBefore w:val="0"/>
              <w:kinsoku/>
              <w:wordWrap/>
              <w:overflowPunct/>
              <w:topLinePunct w:val="0"/>
              <w:autoSpaceDE/>
              <w:autoSpaceDN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b w:val="0"/>
                <w:i w:val="0"/>
                <w:snapToGrid/>
                <w:color w:val="auto"/>
                <w:sz w:val="21"/>
                <w:szCs w:val="21"/>
                <w:highlight w:val="none"/>
                <w:u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637" w:type="dxa"/>
            <w:tcBorders>
              <w:tl2br w:val="nil"/>
              <w:tr2bl w:val="nil"/>
            </w:tcBorders>
            <w:noWrap w:val="0"/>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11</w:t>
            </w:r>
          </w:p>
        </w:tc>
        <w:tc>
          <w:tcPr>
            <w:tcW w:w="1425" w:type="dxa"/>
            <w:gridSpan w:val="2"/>
            <w:tcBorders>
              <w:tl2br w:val="nil"/>
              <w:tr2bl w:val="nil"/>
            </w:tcBorders>
            <w:noWrap w:val="0"/>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硝酸盐</w:t>
            </w:r>
          </w:p>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（以</w:t>
            </w:r>
            <w:r>
              <w:rPr>
                <w:rFonts w:hint="default" w:ascii="Times New Roman" w:hAnsi="Times New Roman" w:eastAsia="宋体" w:cs="Times New Roman"/>
                <w:color w:val="auto"/>
                <w:sz w:val="21"/>
                <w:szCs w:val="21"/>
                <w:highlight w:val="none"/>
                <w:lang w:val="en-US" w:eastAsia="zh-CN"/>
              </w:rPr>
              <w:t>N计</w:t>
            </w:r>
            <w:r>
              <w:rPr>
                <w:rFonts w:hint="default" w:ascii="Times New Roman" w:hAnsi="Times New Roman" w:eastAsia="宋体" w:cs="Times New Roman"/>
                <w:color w:val="auto"/>
                <w:sz w:val="21"/>
                <w:szCs w:val="21"/>
                <w:highlight w:val="none"/>
                <w:lang w:eastAsia="zh-CN"/>
              </w:rPr>
              <w:t>）</w:t>
            </w:r>
          </w:p>
        </w:tc>
        <w:tc>
          <w:tcPr>
            <w:tcW w:w="3253" w:type="dxa"/>
            <w:tcBorders>
              <w:tl2br w:val="nil"/>
              <w:tr2bl w:val="nil"/>
            </w:tcBorders>
            <w:noWrap w:val="0"/>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第5部分：无机非金属指标</w:t>
            </w:r>
          </w:p>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5750.5-2023</w:t>
            </w:r>
          </w:p>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8.2 紫外分光光度法</w:t>
            </w:r>
          </w:p>
        </w:tc>
        <w:tc>
          <w:tcPr>
            <w:tcW w:w="2470" w:type="dxa"/>
            <w:tcBorders>
              <w:tl2br w:val="nil"/>
              <w:tr2bl w:val="nil"/>
            </w:tcBorders>
            <w:noWrap w:val="0"/>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紫外可见分光光度计</w:t>
            </w:r>
          </w:p>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T6新世纪</w:t>
            </w:r>
          </w:p>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SYZZ-SB-028-02</w:t>
            </w:r>
          </w:p>
        </w:tc>
        <w:tc>
          <w:tcPr>
            <w:tcW w:w="1104" w:type="dxa"/>
            <w:tcBorders>
              <w:tl2br w:val="nil"/>
              <w:tr2bl w:val="nil"/>
            </w:tcBorders>
            <w:noWrap w:val="0"/>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color w:val="auto"/>
                <w:sz w:val="21"/>
                <w:szCs w:val="21"/>
                <w:highlight w:val="none"/>
                <w:vertAlign w:val="baseline"/>
                <w:lang w:val="en-US" w:eastAsia="zh-CN"/>
              </w:rPr>
              <w:t>0.2</w:t>
            </w:r>
          </w:p>
        </w:tc>
        <w:tc>
          <w:tcPr>
            <w:tcW w:w="1027" w:type="dxa"/>
            <w:tcBorders>
              <w:tl2br w:val="nil"/>
              <w:tr2bl w:val="nil"/>
            </w:tcBorders>
            <w:noWrap w:val="0"/>
            <w:vAlign w:val="center"/>
          </w:tcPr>
          <w:p>
            <w:pPr>
              <w:keepNext w:val="0"/>
              <w:keepLines w:val="0"/>
              <w:pageBreakBefore w:val="0"/>
              <w:kinsoku/>
              <w:wordWrap/>
              <w:overflowPunct/>
              <w:topLinePunct w:val="0"/>
              <w:autoSpaceDE/>
              <w:autoSpaceDN w:val="0"/>
              <w:bidi w:val="0"/>
              <w:spacing w:line="240" w:lineRule="auto"/>
              <w:ind w:right="0" w:rightChars="0"/>
              <w:jc w:val="center"/>
              <w:textAlignment w:val="center"/>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b w:val="0"/>
                <w:i w:val="0"/>
                <w:snapToGrid/>
                <w:color w:val="auto"/>
                <w:sz w:val="21"/>
                <w:szCs w:val="21"/>
                <w:highlight w:val="none"/>
                <w:u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12</w:t>
            </w:r>
          </w:p>
        </w:tc>
        <w:tc>
          <w:tcPr>
            <w:tcW w:w="1425" w:type="dxa"/>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三氯甲烷</w:t>
            </w:r>
          </w:p>
        </w:tc>
        <w:tc>
          <w:tcPr>
            <w:tcW w:w="3253" w:type="dxa"/>
            <w:tcBorders>
              <w:tl2br w:val="nil"/>
              <w:tr2bl w:val="nil"/>
            </w:tcBorders>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w:t>
            </w:r>
          </w:p>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第10部分：消毒副产物指标</w:t>
            </w:r>
            <w:r>
              <w:rPr>
                <w:rFonts w:hint="default" w:ascii="Times New Roman" w:hAnsi="Times New Roman" w:eastAsia="宋体" w:cs="Times New Roman"/>
                <w:color w:val="auto"/>
                <w:sz w:val="21"/>
                <w:szCs w:val="21"/>
                <w:highlight w:val="none"/>
              </w:rPr>
              <w:br w:type="textWrapping"/>
            </w:r>
            <w:r>
              <w:rPr>
                <w:rFonts w:hint="default" w:ascii="Times New Roman" w:hAnsi="Times New Roman" w:eastAsia="宋体" w:cs="Times New Roman"/>
                <w:color w:val="auto"/>
                <w:sz w:val="21"/>
                <w:szCs w:val="21"/>
                <w:highlight w:val="none"/>
              </w:rPr>
              <w:t>GB/T 5750.10-2023</w:t>
            </w:r>
            <w:r>
              <w:rPr>
                <w:rFonts w:hint="default" w:ascii="Times New Roman" w:hAnsi="Times New Roman" w:eastAsia="宋体" w:cs="Times New Roman"/>
                <w:color w:val="auto"/>
                <w:sz w:val="21"/>
                <w:szCs w:val="21"/>
                <w:highlight w:val="none"/>
              </w:rPr>
              <w:br w:type="textWrapping"/>
            </w:r>
            <w:r>
              <w:rPr>
                <w:rFonts w:hint="default" w:ascii="Times New Roman" w:hAnsi="Times New Roman" w:eastAsia="宋体" w:cs="Times New Roman"/>
                <w:color w:val="auto"/>
                <w:sz w:val="21"/>
                <w:szCs w:val="21"/>
                <w:highlight w:val="none"/>
              </w:rPr>
              <w:t>4.2 吹扫捕集气相色谱质谱法</w:t>
            </w:r>
          </w:p>
        </w:tc>
        <w:tc>
          <w:tcPr>
            <w:tcW w:w="2470" w:type="dxa"/>
            <w:tcBorders>
              <w:tl2br w:val="nil"/>
              <w:tr2bl w:val="nil"/>
            </w:tcBorders>
            <w:vAlign w:val="center"/>
          </w:tcPr>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气相色谱质谱仪GCMS-QP2010 SE</w:t>
            </w:r>
          </w:p>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SYZZ-SB-071-04</w:t>
            </w:r>
          </w:p>
        </w:tc>
        <w:tc>
          <w:tcPr>
            <w:tcW w:w="1104" w:type="dxa"/>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lang w:val="en-US" w:eastAsia="zh-CN"/>
              </w:rPr>
              <w:t>0.120</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i w:val="0"/>
                <w:snapToGrid/>
                <w:color w:val="auto"/>
                <w:sz w:val="21"/>
                <w:szCs w:val="21"/>
                <w:highlight w:val="none"/>
                <w:u w:val="none"/>
                <w:lang w:val="en-US" w:eastAsia="zh-CN" w:bidi="ar-SA"/>
              </w:rPr>
            </w:pPr>
            <w:r>
              <w:rPr>
                <w:rFonts w:hint="default" w:ascii="Times New Roman" w:hAnsi="Times New Roman" w:eastAsia="宋体" w:cs="Times New Roman"/>
                <w:color w:val="auto"/>
                <w:sz w:val="21"/>
                <w:szCs w:val="21"/>
                <w:highlight w:val="none"/>
                <w:lang w:eastAsia="zh-CN"/>
              </w:rPr>
              <w:t>μg/L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13</w:t>
            </w:r>
          </w:p>
        </w:tc>
        <w:tc>
          <w:tcPr>
            <w:tcW w:w="1425" w:type="dxa"/>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一氯二溴甲烷</w:t>
            </w:r>
          </w:p>
        </w:tc>
        <w:tc>
          <w:tcPr>
            <w:tcW w:w="3253" w:type="dxa"/>
            <w:tcBorders>
              <w:tl2br w:val="nil"/>
              <w:tr2bl w:val="nil"/>
            </w:tcBorders>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w:t>
            </w:r>
          </w:p>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第10部分：消毒副产物指标</w:t>
            </w:r>
            <w:r>
              <w:rPr>
                <w:rFonts w:hint="default" w:ascii="Times New Roman" w:hAnsi="Times New Roman" w:eastAsia="宋体" w:cs="Times New Roman"/>
                <w:color w:val="auto"/>
                <w:sz w:val="21"/>
                <w:szCs w:val="21"/>
                <w:highlight w:val="none"/>
              </w:rPr>
              <w:br w:type="textWrapping"/>
            </w:r>
            <w:r>
              <w:rPr>
                <w:rFonts w:hint="default" w:ascii="Times New Roman" w:hAnsi="Times New Roman" w:eastAsia="宋体" w:cs="Times New Roman"/>
                <w:color w:val="auto"/>
                <w:sz w:val="21"/>
                <w:szCs w:val="21"/>
                <w:highlight w:val="none"/>
              </w:rPr>
              <w:t>GB/T 5750.10-2023</w:t>
            </w:r>
            <w:r>
              <w:rPr>
                <w:rFonts w:hint="default" w:ascii="Times New Roman" w:hAnsi="Times New Roman" w:eastAsia="宋体" w:cs="Times New Roman"/>
                <w:color w:val="auto"/>
                <w:sz w:val="21"/>
                <w:szCs w:val="21"/>
                <w:highlight w:val="none"/>
              </w:rPr>
              <w:br w:type="textWrapping"/>
            </w:r>
            <w:r>
              <w:rPr>
                <w:rFonts w:hint="default" w:ascii="Times New Roman" w:hAnsi="Times New Roman" w:eastAsia="宋体" w:cs="Times New Roman"/>
                <w:color w:val="auto"/>
                <w:sz w:val="21"/>
                <w:szCs w:val="21"/>
                <w:highlight w:val="none"/>
              </w:rPr>
              <w:t>7.1 吹扫捕集气相色谱质谱法</w:t>
            </w:r>
          </w:p>
        </w:tc>
        <w:tc>
          <w:tcPr>
            <w:tcW w:w="2470" w:type="dxa"/>
            <w:tcBorders>
              <w:tl2br w:val="nil"/>
              <w:tr2bl w:val="nil"/>
            </w:tcBorders>
            <w:vAlign w:val="center"/>
          </w:tcPr>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气相色谱质谱仪GCMS-QP2010 SE</w:t>
            </w:r>
          </w:p>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SYZZ-SB-071-04</w:t>
            </w:r>
          </w:p>
        </w:tc>
        <w:tc>
          <w:tcPr>
            <w:tcW w:w="1104" w:type="dxa"/>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lang w:val="en-US" w:eastAsia="zh-CN"/>
              </w:rPr>
              <w:t>0.251</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i w:val="0"/>
                <w:snapToGrid/>
                <w:color w:val="auto"/>
                <w:sz w:val="21"/>
                <w:szCs w:val="21"/>
                <w:highlight w:val="none"/>
                <w:u w:val="none"/>
                <w:lang w:val="en-US" w:eastAsia="zh-CN" w:bidi="ar-SA"/>
              </w:rPr>
            </w:pPr>
            <w:r>
              <w:rPr>
                <w:rFonts w:hint="default" w:ascii="Times New Roman" w:hAnsi="Times New Roman" w:eastAsia="宋体" w:cs="Times New Roman"/>
                <w:color w:val="auto"/>
                <w:sz w:val="21"/>
                <w:szCs w:val="21"/>
                <w:highlight w:val="none"/>
                <w:lang w:eastAsia="zh-CN"/>
              </w:rPr>
              <w:t>μg/L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14</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二氯一溴甲烷</w:t>
            </w:r>
          </w:p>
        </w:tc>
        <w:tc>
          <w:tcPr>
            <w:tcW w:w="0" w:type="auto"/>
            <w:tcBorders>
              <w:tl2br w:val="nil"/>
              <w:tr2bl w:val="nil"/>
            </w:tcBorders>
            <w:vAlign w:val="center"/>
          </w:tcPr>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生活饮用水标准检验方法</w:t>
            </w:r>
          </w:p>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第10部分：消毒副产物指标</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GB/T 5750.10-2023</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6.1 吹扫捕集气相色谱质谱法</w:t>
            </w:r>
          </w:p>
        </w:tc>
        <w:tc>
          <w:tcPr>
            <w:tcW w:w="0" w:type="auto"/>
            <w:tcBorders>
              <w:tl2br w:val="nil"/>
              <w:tr2bl w:val="nil"/>
            </w:tcBorders>
            <w:vAlign w:val="center"/>
          </w:tcPr>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气相色谱质谱仪GCMS-QP2010 SE</w:t>
            </w:r>
          </w:p>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SYZZ-SB-071-04</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lang w:val="en-US" w:eastAsia="zh-CN"/>
              </w:rPr>
              <w:t>0.290</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i w:val="0"/>
                <w:snapToGrid/>
                <w:color w:val="auto"/>
                <w:sz w:val="21"/>
                <w:szCs w:val="21"/>
                <w:highlight w:val="none"/>
                <w:u w:val="none"/>
                <w:lang w:val="en-US" w:eastAsia="zh-CN" w:bidi="ar-SA"/>
              </w:rPr>
            </w:pPr>
            <w:r>
              <w:rPr>
                <w:rFonts w:hint="default" w:ascii="Times New Roman" w:hAnsi="Times New Roman" w:eastAsia="宋体" w:cs="Times New Roman"/>
                <w:color w:val="auto"/>
                <w:sz w:val="21"/>
                <w:szCs w:val="21"/>
                <w:highlight w:val="none"/>
                <w:lang w:eastAsia="zh-CN"/>
              </w:rPr>
              <w:t>μg/L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15</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三溴甲烷</w:t>
            </w:r>
          </w:p>
        </w:tc>
        <w:tc>
          <w:tcPr>
            <w:tcW w:w="0" w:type="auto"/>
            <w:tcBorders>
              <w:tl2br w:val="nil"/>
              <w:tr2bl w:val="nil"/>
            </w:tcBorders>
            <w:vAlign w:val="center"/>
          </w:tcPr>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生活饮用水标准检验方法</w:t>
            </w:r>
          </w:p>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第10部分：消毒副产物指标</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GB/T 5750.10-2023</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5.1 吹扫捕集气相色谱质谱法</w:t>
            </w:r>
          </w:p>
        </w:tc>
        <w:tc>
          <w:tcPr>
            <w:tcW w:w="0" w:type="auto"/>
            <w:tcBorders>
              <w:tl2br w:val="nil"/>
              <w:tr2bl w:val="nil"/>
            </w:tcBorders>
            <w:vAlign w:val="center"/>
          </w:tcPr>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气相色谱质谱仪GCMS-QP2010 SE</w:t>
            </w:r>
          </w:p>
          <w:p>
            <w:pPr>
              <w:autoSpaceDN w:val="0"/>
              <w:spacing w:line="28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SYZZ-SB-071-04</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lang w:val="en-US" w:eastAsia="zh-CN"/>
              </w:rPr>
              <w:t>0.251</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i w:val="0"/>
                <w:snapToGrid/>
                <w:color w:val="auto"/>
                <w:sz w:val="21"/>
                <w:szCs w:val="21"/>
                <w:highlight w:val="none"/>
                <w:u w:val="none"/>
                <w:lang w:val="en-US" w:eastAsia="zh-CN" w:bidi="ar-SA"/>
              </w:rPr>
            </w:pPr>
            <w:r>
              <w:rPr>
                <w:rFonts w:hint="default" w:ascii="Times New Roman" w:hAnsi="Times New Roman" w:eastAsia="宋体" w:cs="Times New Roman"/>
                <w:color w:val="auto"/>
                <w:sz w:val="21"/>
                <w:szCs w:val="21"/>
                <w:highlight w:val="none"/>
                <w:lang w:eastAsia="zh-CN"/>
              </w:rPr>
              <w:t>μg/L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637" w:type="dxa"/>
            <w:vMerge w:val="restart"/>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16</w:t>
            </w:r>
          </w:p>
        </w:tc>
        <w:tc>
          <w:tcPr>
            <w:tcW w:w="712" w:type="dxa"/>
            <w:vMerge w:val="restart"/>
            <w:tcBorders>
              <w:tl2br w:val="nil"/>
              <w:tr2bl w:val="nil"/>
            </w:tcBorders>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napToGrid w:val="0"/>
                <w:kern w:val="0"/>
                <w:sz w:val="21"/>
                <w:szCs w:val="21"/>
                <w:highlight w:val="none"/>
                <w:lang w:val="en-US" w:eastAsia="zh-CN" w:bidi="ar-SA"/>
              </w:rPr>
              <w:t>三卤甲烷</w:t>
            </w:r>
          </w:p>
        </w:tc>
        <w:tc>
          <w:tcPr>
            <w:tcW w:w="713" w:type="dxa"/>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三氯甲烷</w:t>
            </w:r>
          </w:p>
        </w:tc>
        <w:tc>
          <w:tcPr>
            <w:tcW w:w="3253"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第10部分：消毒副产物指标</w:t>
            </w:r>
            <w:r>
              <w:rPr>
                <w:rFonts w:hint="default" w:ascii="Times New Roman" w:hAnsi="Times New Roman" w:eastAsia="宋体" w:cs="Times New Roman"/>
                <w:color w:val="auto"/>
                <w:sz w:val="21"/>
                <w:szCs w:val="21"/>
                <w:highlight w:val="none"/>
              </w:rPr>
              <w:br w:type="textWrapping"/>
            </w:r>
            <w:r>
              <w:rPr>
                <w:rFonts w:hint="default" w:ascii="Times New Roman" w:hAnsi="Times New Roman" w:eastAsia="宋体" w:cs="Times New Roman"/>
                <w:color w:val="auto"/>
                <w:sz w:val="21"/>
                <w:szCs w:val="21"/>
                <w:highlight w:val="none"/>
              </w:rPr>
              <w:t>GB/T 5750.10-2023</w:t>
            </w:r>
            <w:r>
              <w:rPr>
                <w:rFonts w:hint="default" w:ascii="Times New Roman" w:hAnsi="Times New Roman" w:eastAsia="宋体" w:cs="Times New Roman"/>
                <w:color w:val="auto"/>
                <w:sz w:val="21"/>
                <w:szCs w:val="21"/>
                <w:highlight w:val="none"/>
              </w:rPr>
              <w:br w:type="textWrapping"/>
            </w:r>
            <w:r>
              <w:rPr>
                <w:rFonts w:hint="default" w:ascii="Times New Roman" w:hAnsi="Times New Roman" w:eastAsia="宋体" w:cs="Times New Roman"/>
                <w:color w:val="auto"/>
                <w:sz w:val="21"/>
                <w:szCs w:val="21"/>
                <w:highlight w:val="none"/>
              </w:rPr>
              <w:t>4.2 吹扫捕集气相色谱质谱法</w:t>
            </w:r>
          </w:p>
        </w:tc>
        <w:tc>
          <w:tcPr>
            <w:tcW w:w="2470"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气相色谱质谱仪GCMS-QP2010 SE</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SYZZ-SB-071-04</w:t>
            </w:r>
          </w:p>
        </w:tc>
        <w:tc>
          <w:tcPr>
            <w:tcW w:w="1104" w:type="dxa"/>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0.120</w:t>
            </w:r>
          </w:p>
        </w:tc>
        <w:tc>
          <w:tcPr>
            <w:tcW w:w="1027" w:type="dxa"/>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μg/L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637" w:type="dxa"/>
            <w:vMerge w:val="continue"/>
            <w:tcBorders>
              <w:tl2br w:val="nil"/>
              <w:tr2bl w:val="nil"/>
            </w:tcBorders>
            <w:vAlign w:val="center"/>
          </w:tcPr>
          <w:p>
            <w:pPr>
              <w:jc w:val="center"/>
              <w:rPr>
                <w:rFonts w:hint="default" w:ascii="Times New Roman" w:hAnsi="Times New Roman" w:eastAsia="宋体" w:cs="Times New Roman"/>
                <w:sz w:val="21"/>
                <w:szCs w:val="21"/>
                <w:lang w:val="en-US" w:eastAsia="zh-CN"/>
              </w:rPr>
            </w:pPr>
          </w:p>
        </w:tc>
        <w:tc>
          <w:tcPr>
            <w:tcW w:w="712" w:type="dxa"/>
            <w:vMerge w:val="continue"/>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p>
        </w:tc>
        <w:tc>
          <w:tcPr>
            <w:tcW w:w="713" w:type="dxa"/>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一氯二溴甲烷</w:t>
            </w:r>
          </w:p>
        </w:tc>
        <w:tc>
          <w:tcPr>
            <w:tcW w:w="3253"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第10部分：消毒副产物指标</w:t>
            </w:r>
            <w:r>
              <w:rPr>
                <w:rFonts w:hint="default" w:ascii="Times New Roman" w:hAnsi="Times New Roman" w:eastAsia="宋体" w:cs="Times New Roman"/>
                <w:color w:val="auto"/>
                <w:sz w:val="21"/>
                <w:szCs w:val="21"/>
                <w:highlight w:val="none"/>
              </w:rPr>
              <w:br w:type="textWrapping"/>
            </w:r>
            <w:r>
              <w:rPr>
                <w:rFonts w:hint="default" w:ascii="Times New Roman" w:hAnsi="Times New Roman" w:eastAsia="宋体" w:cs="Times New Roman"/>
                <w:color w:val="auto"/>
                <w:sz w:val="21"/>
                <w:szCs w:val="21"/>
                <w:highlight w:val="none"/>
              </w:rPr>
              <w:t>GB/T 5750.10-2023</w:t>
            </w:r>
            <w:r>
              <w:rPr>
                <w:rFonts w:hint="default" w:ascii="Times New Roman" w:hAnsi="Times New Roman" w:eastAsia="宋体" w:cs="Times New Roman"/>
                <w:color w:val="auto"/>
                <w:sz w:val="21"/>
                <w:szCs w:val="21"/>
                <w:highlight w:val="none"/>
              </w:rPr>
              <w:br w:type="textWrapping"/>
            </w:r>
            <w:r>
              <w:rPr>
                <w:rFonts w:hint="default" w:ascii="Times New Roman" w:hAnsi="Times New Roman" w:eastAsia="宋体" w:cs="Times New Roman"/>
                <w:color w:val="auto"/>
                <w:sz w:val="21"/>
                <w:szCs w:val="21"/>
                <w:highlight w:val="none"/>
              </w:rPr>
              <w:t>7.1 吹扫捕集气相色谱质谱法</w:t>
            </w:r>
          </w:p>
        </w:tc>
        <w:tc>
          <w:tcPr>
            <w:tcW w:w="2470"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气相色谱质谱仪GCMS-QP2010 SE</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SYZZ-SB-071-04</w:t>
            </w:r>
          </w:p>
        </w:tc>
        <w:tc>
          <w:tcPr>
            <w:tcW w:w="1104" w:type="dxa"/>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0.251</w:t>
            </w:r>
          </w:p>
        </w:tc>
        <w:tc>
          <w:tcPr>
            <w:tcW w:w="1027" w:type="dxa"/>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μg/L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637" w:type="dxa"/>
            <w:vMerge w:val="continue"/>
            <w:tcBorders>
              <w:tl2br w:val="nil"/>
              <w:tr2bl w:val="nil"/>
            </w:tcBorders>
            <w:vAlign w:val="center"/>
          </w:tcPr>
          <w:p>
            <w:pPr>
              <w:jc w:val="center"/>
              <w:rPr>
                <w:rFonts w:hint="default" w:ascii="Times New Roman" w:hAnsi="Times New Roman" w:eastAsia="宋体" w:cs="Times New Roman"/>
                <w:sz w:val="21"/>
                <w:szCs w:val="21"/>
                <w:lang w:val="en-US" w:eastAsia="zh-CN"/>
              </w:rPr>
            </w:pPr>
          </w:p>
        </w:tc>
        <w:tc>
          <w:tcPr>
            <w:tcW w:w="712" w:type="dxa"/>
            <w:vMerge w:val="continue"/>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p>
        </w:tc>
        <w:tc>
          <w:tcPr>
            <w:tcW w:w="713" w:type="dxa"/>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二氯一溴甲烷</w:t>
            </w:r>
          </w:p>
        </w:tc>
        <w:tc>
          <w:tcPr>
            <w:tcW w:w="3253"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生活饮用水标准检验方法</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第10部分：消毒副产物指标</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GB/T 5750.10-2023</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6.1 吹扫捕集气相色谱质谱法</w:t>
            </w:r>
          </w:p>
        </w:tc>
        <w:tc>
          <w:tcPr>
            <w:tcW w:w="2470"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气相色谱质谱仪GCMS-QP2010 SE</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SYZZ-SB-071-04</w:t>
            </w:r>
          </w:p>
        </w:tc>
        <w:tc>
          <w:tcPr>
            <w:tcW w:w="1104" w:type="dxa"/>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0.290</w:t>
            </w:r>
          </w:p>
        </w:tc>
        <w:tc>
          <w:tcPr>
            <w:tcW w:w="1027" w:type="dxa"/>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μg/L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637" w:type="dxa"/>
            <w:vMerge w:val="continue"/>
            <w:tcBorders>
              <w:tl2br w:val="nil"/>
              <w:tr2bl w:val="nil"/>
            </w:tcBorders>
            <w:vAlign w:val="center"/>
          </w:tcPr>
          <w:p>
            <w:pPr>
              <w:jc w:val="center"/>
              <w:rPr>
                <w:rFonts w:hint="default" w:ascii="Times New Roman" w:hAnsi="Times New Roman" w:eastAsia="宋体" w:cs="Times New Roman"/>
                <w:sz w:val="21"/>
                <w:szCs w:val="21"/>
                <w:lang w:val="en-US" w:eastAsia="zh-CN"/>
              </w:rPr>
            </w:pPr>
          </w:p>
        </w:tc>
        <w:tc>
          <w:tcPr>
            <w:tcW w:w="712" w:type="dxa"/>
            <w:vMerge w:val="continue"/>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p>
        </w:tc>
        <w:tc>
          <w:tcPr>
            <w:tcW w:w="713" w:type="dxa"/>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三溴甲烷</w:t>
            </w:r>
          </w:p>
        </w:tc>
        <w:tc>
          <w:tcPr>
            <w:tcW w:w="3253"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生活饮用水标准检验方法</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第10部分：消毒副产物指标</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GB/T 5750.10-2023</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5.1 吹扫捕集气相色谱质谱法</w:t>
            </w:r>
          </w:p>
        </w:tc>
        <w:tc>
          <w:tcPr>
            <w:tcW w:w="2470" w:type="dxa"/>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气相色谱质谱仪GCMS-QP2010 SE</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SYZZ-SB-071-04</w:t>
            </w:r>
          </w:p>
        </w:tc>
        <w:tc>
          <w:tcPr>
            <w:tcW w:w="1104" w:type="dxa"/>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0.251</w:t>
            </w:r>
          </w:p>
        </w:tc>
        <w:tc>
          <w:tcPr>
            <w:tcW w:w="1027" w:type="dxa"/>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μg/L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637" w:type="dxa"/>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17</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二氯乙酸</w:t>
            </w:r>
          </w:p>
        </w:tc>
        <w:tc>
          <w:tcPr>
            <w:tcW w:w="0" w:type="auto"/>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生活饮用水标准检验方法 第10部分：消毒副产物指标</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GB/T 5750.10-2023</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15.1 液液萃取衍生气相色谱法</w:t>
            </w:r>
          </w:p>
        </w:tc>
        <w:tc>
          <w:tcPr>
            <w:tcW w:w="0" w:type="auto"/>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气相色谱仪</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GC-9790Plus</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SYZZ-SB-030-03</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2.0</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μg/L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18</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三氯乙酸</w:t>
            </w:r>
          </w:p>
        </w:tc>
        <w:tc>
          <w:tcPr>
            <w:tcW w:w="0" w:type="auto"/>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生活饮用水标准检验方法 第10部分：消毒副产物指标</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GB/T 5750.10-2023</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16.1 液液萃取衍生气相色谱法</w:t>
            </w:r>
          </w:p>
        </w:tc>
        <w:tc>
          <w:tcPr>
            <w:tcW w:w="0" w:type="auto"/>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气相色谱仪</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GC-9790Plus</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SYZZ-SB-030-03</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1.0</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μg/L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19</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溴酸盐</w:t>
            </w:r>
          </w:p>
        </w:tc>
        <w:tc>
          <w:tcPr>
            <w:tcW w:w="0" w:type="auto"/>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生活饮用水标准检验方法 第10部分：消毒副产物指标</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GB/T 5750.10-2023</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22.1 离子色谱法-氢氧根系统淋洗液</w:t>
            </w:r>
          </w:p>
        </w:tc>
        <w:tc>
          <w:tcPr>
            <w:tcW w:w="0" w:type="auto"/>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离子色谱仪</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CIC-D120</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SYZZ-SB-032-02</w:t>
            </w:r>
          </w:p>
        </w:tc>
        <w:tc>
          <w:tcPr>
            <w:tcW w:w="0" w:type="auto"/>
            <w:tcBorders>
              <w:tl2br w:val="nil"/>
              <w:tr2bl w:val="nil"/>
            </w:tcBorders>
            <w:vAlign w:val="center"/>
          </w:tcPr>
          <w:p>
            <w:pPr>
              <w:widowControl/>
              <w:jc w:val="center"/>
              <w:textAlignment w:val="center"/>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sz w:val="21"/>
                <w:szCs w:val="21"/>
                <w:highlight w:val="none"/>
                <w:lang w:val="en-US" w:eastAsia="zh-CN" w:bidi="ar"/>
              </w:rPr>
              <w:t>5</w:t>
            </w:r>
          </w:p>
        </w:tc>
        <w:tc>
          <w:tcPr>
            <w:tcW w:w="0" w:type="auto"/>
            <w:tcBorders>
              <w:tl2br w:val="nil"/>
              <w:tr2bl w:val="nil"/>
            </w:tcBorders>
            <w:vAlign w:val="center"/>
          </w:tcPr>
          <w:p>
            <w:pPr>
              <w:widowControl/>
              <w:jc w:val="center"/>
              <w:textAlignment w:val="center"/>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rPr>
              <w:t>μg/L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亚氯酸盐</w:t>
            </w:r>
          </w:p>
        </w:tc>
        <w:tc>
          <w:tcPr>
            <w:tcW w:w="0" w:type="auto"/>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生活饮用水标准检验方法 第10部分：消毒副产物指标</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GB/T 5750.10-2023</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20.1 碘量法</w:t>
            </w:r>
          </w:p>
        </w:tc>
        <w:tc>
          <w:tcPr>
            <w:tcW w:w="0" w:type="auto"/>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5mL</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微量滴定管（棕）SYZZ-SB-141-01</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0.04</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21</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氯酸盐</w:t>
            </w:r>
          </w:p>
        </w:tc>
        <w:tc>
          <w:tcPr>
            <w:tcW w:w="0" w:type="auto"/>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生活饮用水标准检验方法 第10部分：消毒副产物指标</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GB/T 5750.10-2023</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21.1 碘量法</w:t>
            </w:r>
          </w:p>
        </w:tc>
        <w:tc>
          <w:tcPr>
            <w:tcW w:w="0" w:type="auto"/>
            <w:tcBorders>
              <w:tl2br w:val="nil"/>
              <w:tr2bl w:val="nil"/>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5mL</w:t>
            </w:r>
          </w:p>
          <w:p>
            <w:pPr>
              <w:keepNext w:val="0"/>
              <w:keepLines w:val="0"/>
              <w:pageBreakBefore w:val="0"/>
              <w:kinsoku/>
              <w:wordWrap/>
              <w:overflowPunct/>
              <w:topLinePunct w:val="0"/>
              <w:autoSpaceDE/>
              <w:autoSpaceDN w:val="0"/>
              <w:bidi w:val="0"/>
              <w:adjustRightInd/>
              <w:snapToGrid/>
              <w:spacing w:line="30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微量滴定管（棕）SYZZ-SB-141-01</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0.23</w:t>
            </w:r>
          </w:p>
        </w:tc>
        <w:tc>
          <w:tcPr>
            <w:tcW w:w="0" w:type="auto"/>
            <w:tcBorders>
              <w:tl2br w:val="nil"/>
              <w:tr2bl w:val="nil"/>
            </w:tcBorders>
            <w:vAlign w:val="center"/>
          </w:tcPr>
          <w:p>
            <w:pPr>
              <w:keepNext w:val="0"/>
              <w:keepLines w:val="0"/>
              <w:pageBreakBefore w:val="0"/>
              <w:kinsoku/>
              <w:wordWrap/>
              <w:overflowPunct/>
              <w:topLinePunct w:val="0"/>
              <w:autoSpaceDE/>
              <w:autoSpaceDN w:val="0"/>
              <w:bidi w:val="0"/>
              <w:spacing w:line="240" w:lineRule="auto"/>
              <w:ind w:right="0" w:rightChars="0"/>
              <w:jc w:val="center"/>
              <w:textAlignment w:val="center"/>
              <w:rPr>
                <w:rFonts w:hint="default" w:ascii="Times New Roman" w:hAnsi="Times New Roman" w:eastAsia="宋体" w:cs="Times New Roman"/>
                <w:b w:val="0"/>
                <w:i w:val="0"/>
                <w:snapToGrid/>
                <w:color w:val="auto"/>
                <w:sz w:val="21"/>
                <w:szCs w:val="21"/>
                <w:highlight w:val="none"/>
                <w:u w:val="none"/>
                <w:lang w:val="en-US" w:eastAsia="zh-CN" w:bidi="ar-SA"/>
              </w:rPr>
            </w:pPr>
            <w:r>
              <w:rPr>
                <w:rFonts w:hint="default" w:ascii="Times New Roman" w:hAnsi="Times New Roman" w:eastAsia="宋体" w:cs="Times New Roman"/>
                <w:b w:val="0"/>
                <w:i w:val="0"/>
                <w:snapToGrid/>
                <w:color w:val="auto"/>
                <w:sz w:val="21"/>
                <w:szCs w:val="21"/>
                <w:highlight w:val="none"/>
                <w:u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22</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色度</w:t>
            </w:r>
          </w:p>
        </w:tc>
        <w:tc>
          <w:tcPr>
            <w:tcW w:w="0" w:type="auto"/>
            <w:tcBorders>
              <w:tl2br w:val="nil"/>
              <w:tr2bl w:val="nil"/>
            </w:tcBorders>
            <w:vAlign w:val="center"/>
          </w:tcPr>
          <w:p>
            <w:pPr>
              <w:keepNext w:val="0"/>
              <w:keepLines w:val="0"/>
              <w:pageBreakBefore w:val="0"/>
              <w:kinsoku/>
              <w:wordWrap/>
              <w:overflowPunct/>
              <w:topLinePunct w:val="0"/>
              <w:autoSpaceDE/>
              <w:bidi w:val="0"/>
              <w:adjustRightInd/>
              <w:snapToGrid/>
              <w:spacing w:line="3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第4部分：感官性状和物理指标</w:t>
            </w:r>
          </w:p>
          <w:p>
            <w:pPr>
              <w:keepNext w:val="0"/>
              <w:keepLines w:val="0"/>
              <w:pageBreakBefore w:val="0"/>
              <w:kinsoku/>
              <w:wordWrap/>
              <w:overflowPunct/>
              <w:topLinePunct w:val="0"/>
              <w:autoSpaceDE/>
              <w:bidi w:val="0"/>
              <w:adjustRightInd/>
              <w:snapToGrid/>
              <w:spacing w:line="30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5750.4-2023</w:t>
            </w:r>
          </w:p>
          <w:p>
            <w:pPr>
              <w:keepNext w:val="0"/>
              <w:keepLines w:val="0"/>
              <w:pageBreakBefore w:val="0"/>
              <w:kinsoku/>
              <w:wordWrap/>
              <w:overflowPunct/>
              <w:topLinePunct w:val="0"/>
              <w:autoSpaceDE/>
              <w:bidi w:val="0"/>
              <w:adjustRightInd/>
              <w:snapToGrid/>
              <w:spacing w:line="30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4.1 铂-钴标准比色法</w:t>
            </w:r>
          </w:p>
        </w:tc>
        <w:tc>
          <w:tcPr>
            <w:tcW w:w="0" w:type="auto"/>
            <w:tcBorders>
              <w:tl2br w:val="nil"/>
              <w:tr2bl w:val="nil"/>
            </w:tcBorders>
            <w:vAlign w:val="center"/>
          </w:tcPr>
          <w:p>
            <w:pPr>
              <w:keepNext w:val="0"/>
              <w:keepLines w:val="0"/>
              <w:pageBreakBefore w:val="0"/>
              <w:widowControl/>
              <w:suppressLineNumbers w:val="0"/>
              <w:kinsoku/>
              <w:wordWrap/>
              <w:overflowPunct/>
              <w:topLinePunct w:val="0"/>
              <w:autoSpaceDE/>
              <w:bidi w:val="0"/>
              <w:adjustRightInd/>
              <w:snapToGrid/>
              <w:spacing w:line="300" w:lineRule="exact"/>
              <w:ind w:right="0" w:rightChars="0"/>
              <w:jc w:val="center"/>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50ml比色管</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auto"/>
                <w:sz w:val="21"/>
                <w:szCs w:val="21"/>
                <w:highlight w:val="none"/>
                <w:vertAlign w:val="baseline"/>
                <w:lang w:val="en-US" w:eastAsia="zh-CN"/>
              </w:rPr>
              <w:t>5</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auto"/>
                <w:sz w:val="21"/>
                <w:szCs w:val="21"/>
                <w:highlight w:val="none"/>
                <w:vertAlign w:val="baseline"/>
                <w:lang w:eastAsia="zh-CN"/>
              </w:rPr>
              <w:t>度</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23</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浑浊度</w:t>
            </w:r>
          </w:p>
        </w:tc>
        <w:tc>
          <w:tcPr>
            <w:tcW w:w="0" w:type="auto"/>
            <w:tcBorders>
              <w:tl2br w:val="nil"/>
              <w:tr2bl w:val="nil"/>
            </w:tcBorders>
            <w:vAlign w:val="center"/>
          </w:tcPr>
          <w:p>
            <w:pPr>
              <w:adjustRightInd w:val="0"/>
              <w:snapToGrid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第4部分：感官性状和物理指标</w:t>
            </w:r>
          </w:p>
          <w:p>
            <w:pPr>
              <w:adjustRightInd w:val="0"/>
              <w:snapToGrid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5750.4-2023</w:t>
            </w:r>
          </w:p>
          <w:p>
            <w:pPr>
              <w:adjustRightInd w:val="0"/>
              <w:snapToGrid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5.1 散射法-福尔马肼标准</w:t>
            </w:r>
          </w:p>
        </w:tc>
        <w:tc>
          <w:tcPr>
            <w:tcW w:w="0" w:type="auto"/>
            <w:tcBorders>
              <w:tl2br w:val="nil"/>
              <w:tr2bl w:val="nil"/>
            </w:tcBorders>
            <w:vAlign w:val="center"/>
          </w:tcPr>
          <w:p>
            <w:pPr>
              <w:widowControl/>
              <w:spacing w:line="28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浊度计</w:t>
            </w:r>
          </w:p>
          <w:p>
            <w:pPr>
              <w:widowControl/>
              <w:spacing w:line="28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WGZ-200AS</w:t>
            </w:r>
          </w:p>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SYZZ-SB-113-01</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
              </w:rPr>
              <w:t>0.5</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
              </w:rPr>
              <w:t>NTU</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24</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臭和味</w:t>
            </w:r>
          </w:p>
        </w:tc>
        <w:tc>
          <w:tcPr>
            <w:tcW w:w="0" w:type="auto"/>
            <w:tcBorders>
              <w:tl2br w:val="nil"/>
              <w:tr2bl w:val="nil"/>
            </w:tcBorders>
            <w:vAlign w:val="center"/>
          </w:tcPr>
          <w:p>
            <w:pPr>
              <w:adjustRightInd w:val="0"/>
              <w:snapToGrid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第4部分：感官性状和物理指标</w:t>
            </w:r>
          </w:p>
          <w:p>
            <w:pPr>
              <w:adjustRightInd w:val="0"/>
              <w:snapToGrid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5750.4-2023</w:t>
            </w:r>
          </w:p>
          <w:p>
            <w:pPr>
              <w:adjustRightInd w:val="0"/>
              <w:snapToGrid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6.1 嗅气和尝味法</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250ml锥形瓶</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auto"/>
                <w:sz w:val="21"/>
                <w:szCs w:val="21"/>
                <w:highlight w:val="none"/>
                <w:vertAlign w:val="baseline"/>
                <w:lang w:eastAsia="zh-CN"/>
              </w:rPr>
              <w:t>——</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auto"/>
                <w:sz w:val="21"/>
                <w:szCs w:val="21"/>
                <w:highlight w:val="none"/>
                <w:vertAlign w:val="baseline"/>
                <w:lang w:eastAsia="zh-CN"/>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25</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肉眼可见物</w:t>
            </w:r>
          </w:p>
        </w:tc>
        <w:tc>
          <w:tcPr>
            <w:tcW w:w="0" w:type="auto"/>
            <w:tcBorders>
              <w:tl2br w:val="nil"/>
              <w:tr2bl w:val="nil"/>
            </w:tcBorders>
            <w:vAlign w:val="center"/>
          </w:tcPr>
          <w:p>
            <w:pPr>
              <w:adjustRightInd w:val="0"/>
              <w:snapToGrid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第4部分：感官性状和物理指标</w:t>
            </w:r>
          </w:p>
          <w:p>
            <w:pPr>
              <w:adjustRightInd w:val="0"/>
              <w:snapToGrid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5750.4-2023</w:t>
            </w:r>
          </w:p>
          <w:p>
            <w:pPr>
              <w:adjustRightInd w:val="0"/>
              <w:snapToGrid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7.1 直接观察法</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color w:val="auto"/>
                <w:sz w:val="21"/>
                <w:szCs w:val="21"/>
                <w:highlight w:val="none"/>
                <w:vertAlign w:val="baseline"/>
                <w:lang w:eastAsia="zh-CN"/>
              </w:rPr>
              <w:t>——</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auto"/>
                <w:sz w:val="21"/>
                <w:szCs w:val="21"/>
                <w:highlight w:val="none"/>
                <w:vertAlign w:val="baseline"/>
                <w:lang w:eastAsia="zh-CN"/>
              </w:rPr>
              <w:t>——</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auto"/>
                <w:sz w:val="21"/>
                <w:szCs w:val="21"/>
                <w:highlight w:val="none"/>
                <w:vertAlign w:val="baseline"/>
                <w:lang w:eastAsia="zh-CN"/>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26</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pH</w:t>
            </w:r>
            <w:r>
              <w:rPr>
                <w:rFonts w:hint="default" w:ascii="Times New Roman" w:hAnsi="Times New Roman" w:eastAsia="宋体" w:cs="Times New Roman"/>
                <w:color w:val="auto"/>
                <w:sz w:val="21"/>
                <w:szCs w:val="21"/>
                <w:highlight w:val="none"/>
                <w:lang w:val="en-US" w:eastAsia="zh-CN"/>
              </w:rPr>
              <w:t>值</w:t>
            </w:r>
          </w:p>
        </w:tc>
        <w:tc>
          <w:tcPr>
            <w:tcW w:w="0" w:type="auto"/>
            <w:tcBorders>
              <w:tl2br w:val="nil"/>
              <w:tr2bl w:val="nil"/>
            </w:tcBorders>
            <w:vAlign w:val="center"/>
          </w:tcPr>
          <w:p>
            <w:pPr>
              <w:adjustRightInd w:val="0"/>
              <w:snapToGrid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第4部分：感官性状和物理指标</w:t>
            </w:r>
          </w:p>
          <w:p>
            <w:pPr>
              <w:adjustRightInd w:val="0"/>
              <w:snapToGrid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5750.4-2023</w:t>
            </w:r>
          </w:p>
          <w:p>
            <w:pPr>
              <w:adjustRightInd w:val="0"/>
              <w:snapToGrid w:val="0"/>
              <w:spacing w:line="28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8.1 玻璃电极法</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多参数分析仪</w:t>
            </w:r>
          </w:p>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DZB-718</w:t>
            </w:r>
          </w:p>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
              </w:rPr>
              <w:t>SYZZ-SB-114-(01-02)</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
              </w:rPr>
              <w:t>——</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color w:val="auto"/>
                <w:kern w:val="0"/>
                <w:sz w:val="21"/>
                <w:szCs w:val="21"/>
                <w:highlight w:val="none"/>
                <w:u w:val="none"/>
                <w:lang w:val="en-US" w:eastAsia="zh-CN" w:bidi="ar"/>
              </w:rPr>
              <w:t>无量纲</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27</w:t>
            </w:r>
          </w:p>
        </w:tc>
        <w:tc>
          <w:tcPr>
            <w:tcW w:w="0" w:type="auto"/>
            <w:gridSpan w:val="2"/>
            <w:tcBorders>
              <w:tl2br w:val="nil"/>
              <w:tr2bl w:val="nil"/>
            </w:tcBorders>
            <w:vAlign w:val="center"/>
          </w:tcPr>
          <w:p>
            <w:pPr>
              <w:adjustRightInd w:val="0"/>
              <w:snapToGrid w:val="0"/>
              <w:spacing w:line="256" w:lineRule="exact"/>
              <w:jc w:val="center"/>
              <w:rPr>
                <w:rFonts w:hint="default" w:ascii="Times New Roman" w:hAnsi="Times New Roman" w:eastAsia="宋体" w:cs="Times New Roman"/>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rPr>
              <w:t>铝</w:t>
            </w:r>
          </w:p>
        </w:tc>
        <w:tc>
          <w:tcPr>
            <w:tcW w:w="0" w:type="auto"/>
            <w:tcBorders>
              <w:tl2br w:val="nil"/>
              <w:tr2bl w:val="nil"/>
            </w:tcBorders>
            <w:vAlign w:val="center"/>
          </w:tcPr>
          <w:p>
            <w:pPr>
              <w:autoSpaceDN w:val="0"/>
              <w:spacing w:line="26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第6部分：金属和类金属指标</w:t>
            </w:r>
          </w:p>
          <w:p>
            <w:pPr>
              <w:autoSpaceDN w:val="0"/>
              <w:spacing w:line="26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5750.6-2023</w:t>
            </w:r>
          </w:p>
          <w:p>
            <w:pPr>
              <w:autoSpaceDN w:val="0"/>
              <w:spacing w:line="260" w:lineRule="exact"/>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4.1 铬天青S分光光度法</w:t>
            </w:r>
          </w:p>
        </w:tc>
        <w:tc>
          <w:tcPr>
            <w:tcW w:w="0" w:type="auto"/>
            <w:tcBorders>
              <w:tl2br w:val="nil"/>
              <w:tr2bl w:val="nil"/>
            </w:tcBorders>
            <w:vAlign w:val="center"/>
          </w:tcPr>
          <w:p>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紫外可见分光光度计</w:t>
            </w:r>
          </w:p>
          <w:p>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T6新世纪</w:t>
            </w:r>
          </w:p>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rPr>
              <w:t>SYZZ-SB-028-02</w:t>
            </w:r>
          </w:p>
        </w:tc>
        <w:tc>
          <w:tcPr>
            <w:tcW w:w="0" w:type="auto"/>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val="en-US" w:eastAsia="zh-CN"/>
              </w:rPr>
              <w:t>0.008</w:t>
            </w:r>
          </w:p>
        </w:tc>
        <w:tc>
          <w:tcPr>
            <w:tcW w:w="0" w:type="auto"/>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vertAlign w:val="baseline"/>
                <w:lang w:val="en-US"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28</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eastAsia="宋体" w:cs="Times New Roman"/>
                <w:color w:val="auto"/>
                <w:sz w:val="21"/>
                <w:szCs w:val="21"/>
                <w:highlight w:val="none"/>
              </w:rPr>
              <w:t>铁</w:t>
            </w:r>
          </w:p>
        </w:tc>
        <w:tc>
          <w:tcPr>
            <w:tcW w:w="0" w:type="auto"/>
            <w:tcBorders>
              <w:tl2br w:val="nil"/>
              <w:tr2bl w:val="nil"/>
            </w:tcBorders>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第6部分：金属和类金属指标</w:t>
            </w:r>
          </w:p>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5750.6-2023</w:t>
            </w:r>
          </w:p>
          <w:p>
            <w:pPr>
              <w:autoSpaceDN w:val="0"/>
              <w:spacing w:line="280" w:lineRule="exact"/>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5.1 火焰原子吸收分光光度法</w:t>
            </w:r>
          </w:p>
        </w:tc>
        <w:tc>
          <w:tcPr>
            <w:tcW w:w="0" w:type="auto"/>
            <w:tcBorders>
              <w:tl2br w:val="nil"/>
              <w:tr2bl w:val="nil"/>
            </w:tcBorders>
            <w:vAlign w:val="center"/>
          </w:tcPr>
          <w:p>
            <w:pPr>
              <w:widowControl/>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原子吸收分光光度计</w:t>
            </w:r>
          </w:p>
          <w:p>
            <w:pPr>
              <w:widowControl/>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AA-7003</w:t>
            </w:r>
          </w:p>
          <w:p>
            <w:pPr>
              <w:widowControl/>
              <w:jc w:val="center"/>
              <w:textAlignment w:val="center"/>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color w:val="auto"/>
                <w:kern w:val="0"/>
                <w:sz w:val="21"/>
                <w:szCs w:val="21"/>
                <w:highlight w:val="none"/>
              </w:rPr>
              <w:t>SYZZ-SB-029-01</w:t>
            </w:r>
          </w:p>
        </w:tc>
        <w:tc>
          <w:tcPr>
            <w:tcW w:w="0" w:type="auto"/>
            <w:tcBorders>
              <w:tl2br w:val="nil"/>
              <w:tr2bl w:val="nil"/>
            </w:tcBorders>
            <w:vAlign w:val="center"/>
          </w:tcPr>
          <w:p>
            <w:pPr>
              <w:widowControl/>
              <w:jc w:val="center"/>
              <w:textAlignment w:val="center"/>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color w:val="auto"/>
                <w:sz w:val="21"/>
                <w:szCs w:val="21"/>
                <w:highlight w:val="none"/>
              </w:rPr>
              <w:t>0.</w:t>
            </w:r>
            <w:r>
              <w:rPr>
                <w:rFonts w:hint="default" w:ascii="Times New Roman" w:hAnsi="Times New Roman" w:eastAsia="宋体" w:cs="Times New Roman"/>
                <w:color w:val="auto"/>
                <w:sz w:val="21"/>
                <w:szCs w:val="21"/>
                <w:highlight w:val="none"/>
                <w:lang w:val="en-US" w:eastAsia="zh-CN"/>
              </w:rPr>
              <w:t>3</w:t>
            </w:r>
          </w:p>
        </w:tc>
        <w:tc>
          <w:tcPr>
            <w:tcW w:w="0" w:type="auto"/>
            <w:tcBorders>
              <w:tl2br w:val="nil"/>
              <w:tr2bl w:val="nil"/>
            </w:tcBorders>
            <w:vAlign w:val="center"/>
          </w:tcPr>
          <w:p>
            <w:pPr>
              <w:autoSpaceDN w:val="0"/>
              <w:jc w:val="center"/>
              <w:textAlignment w:val="center"/>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color w:val="auto"/>
                <w:kern w:val="0"/>
                <w:sz w:val="21"/>
                <w:szCs w:val="21"/>
                <w:highlight w:val="none"/>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29</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eastAsia="宋体" w:cs="Times New Roman"/>
                <w:color w:val="auto"/>
                <w:sz w:val="21"/>
                <w:szCs w:val="21"/>
                <w:highlight w:val="none"/>
              </w:rPr>
              <w:t>锰</w:t>
            </w:r>
          </w:p>
        </w:tc>
        <w:tc>
          <w:tcPr>
            <w:tcW w:w="0" w:type="auto"/>
            <w:tcBorders>
              <w:tl2br w:val="nil"/>
              <w:tr2bl w:val="nil"/>
            </w:tcBorders>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第6部分：金属和类金属指标</w:t>
            </w:r>
          </w:p>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5750.6-2023</w:t>
            </w:r>
          </w:p>
          <w:p>
            <w:pPr>
              <w:autoSpaceDN w:val="0"/>
              <w:spacing w:line="280" w:lineRule="exact"/>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6.1 火焰原子吸收分光光度法</w:t>
            </w:r>
          </w:p>
        </w:tc>
        <w:tc>
          <w:tcPr>
            <w:tcW w:w="0" w:type="auto"/>
            <w:tcBorders>
              <w:tl2br w:val="nil"/>
              <w:tr2bl w:val="nil"/>
            </w:tcBorders>
            <w:vAlign w:val="center"/>
          </w:tcPr>
          <w:p>
            <w:pPr>
              <w:widowControl/>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原子吸收分光光度计</w:t>
            </w:r>
          </w:p>
          <w:p>
            <w:pPr>
              <w:widowControl/>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AA-7003</w:t>
            </w:r>
          </w:p>
          <w:p>
            <w:pPr>
              <w:widowControl/>
              <w:jc w:val="center"/>
              <w:textAlignment w:val="center"/>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color w:val="auto"/>
                <w:kern w:val="0"/>
                <w:sz w:val="21"/>
                <w:szCs w:val="21"/>
                <w:highlight w:val="none"/>
              </w:rPr>
              <w:t>SYZZ-SB-029-01</w:t>
            </w:r>
          </w:p>
        </w:tc>
        <w:tc>
          <w:tcPr>
            <w:tcW w:w="0" w:type="auto"/>
            <w:tcBorders>
              <w:tl2br w:val="nil"/>
              <w:tr2bl w:val="nil"/>
            </w:tcBorders>
            <w:vAlign w:val="center"/>
          </w:tcPr>
          <w:p>
            <w:pPr>
              <w:widowControl/>
              <w:jc w:val="center"/>
              <w:textAlignment w:val="center"/>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color w:val="auto"/>
                <w:sz w:val="21"/>
                <w:szCs w:val="21"/>
                <w:highlight w:val="none"/>
              </w:rPr>
              <w:t>0.</w:t>
            </w:r>
            <w:r>
              <w:rPr>
                <w:rFonts w:hint="default" w:ascii="Times New Roman" w:hAnsi="Times New Roman" w:eastAsia="宋体" w:cs="Times New Roman"/>
                <w:color w:val="auto"/>
                <w:sz w:val="21"/>
                <w:szCs w:val="21"/>
                <w:highlight w:val="none"/>
                <w:lang w:val="en-US" w:eastAsia="zh-CN"/>
              </w:rPr>
              <w:t>1</w:t>
            </w:r>
          </w:p>
        </w:tc>
        <w:tc>
          <w:tcPr>
            <w:tcW w:w="0" w:type="auto"/>
            <w:tcBorders>
              <w:tl2br w:val="nil"/>
              <w:tr2bl w:val="nil"/>
            </w:tcBorders>
            <w:vAlign w:val="center"/>
          </w:tcPr>
          <w:p>
            <w:pPr>
              <w:autoSpaceDN w:val="0"/>
              <w:jc w:val="center"/>
              <w:textAlignment w:val="center"/>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color w:val="auto"/>
                <w:kern w:val="0"/>
                <w:sz w:val="21"/>
                <w:szCs w:val="21"/>
                <w:highlight w:val="none"/>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w:t>
            </w:r>
          </w:p>
        </w:tc>
        <w:tc>
          <w:tcPr>
            <w:tcW w:w="0" w:type="auto"/>
            <w:gridSpan w:val="2"/>
            <w:tcBorders>
              <w:tl2br w:val="nil"/>
              <w:tr2bl w:val="nil"/>
            </w:tcBorders>
            <w:vAlign w:val="center"/>
          </w:tcPr>
          <w:p>
            <w:pPr>
              <w:jc w:val="center"/>
              <w:rPr>
                <w:rFonts w:hint="default" w:ascii="Times New Roman" w:hAnsi="Times New Roman" w:eastAsia="宋体" w:cs="Times New Roman"/>
                <w:sz w:val="21"/>
                <w:szCs w:val="21"/>
                <w:highlight w:val="none"/>
                <w:vertAlign w:val="baseline"/>
                <w:lang w:val="en-US" w:eastAsia="zh-CN" w:bidi="ar-SA"/>
              </w:rPr>
            </w:pPr>
            <w:r>
              <w:rPr>
                <w:rFonts w:hint="default" w:ascii="Times New Roman" w:hAnsi="Times New Roman" w:eastAsia="宋体" w:cs="Times New Roman"/>
                <w:sz w:val="21"/>
                <w:szCs w:val="21"/>
                <w:highlight w:val="none"/>
                <w:vertAlign w:val="baseline"/>
                <w:lang w:val="en-US" w:eastAsia="zh-CN"/>
              </w:rPr>
              <w:t>铜</w:t>
            </w:r>
          </w:p>
        </w:tc>
        <w:tc>
          <w:tcPr>
            <w:tcW w:w="0" w:type="auto"/>
            <w:tcBorders>
              <w:tl2br w:val="nil"/>
              <w:tr2bl w:val="nil"/>
            </w:tcBorders>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第6部分：金属和类金属指标</w:t>
            </w:r>
          </w:p>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5750.6-2023</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7.2 火焰原子吸收分光光度法</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原子吸收分光光度计</w:t>
            </w:r>
          </w:p>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AA-700</w:t>
            </w:r>
            <w:r>
              <w:rPr>
                <w:rFonts w:hint="default" w:ascii="Times New Roman" w:hAnsi="Times New Roman" w:eastAsia="宋体" w:cs="Times New Roman"/>
                <w:color w:val="auto"/>
                <w:sz w:val="21"/>
                <w:szCs w:val="21"/>
                <w:highlight w:val="none"/>
                <w:lang w:val="en-US" w:eastAsia="zh-CN"/>
              </w:rPr>
              <w:t>3</w:t>
            </w:r>
          </w:p>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rPr>
              <w:t>S</w:t>
            </w:r>
            <w:r>
              <w:rPr>
                <w:rFonts w:hint="default" w:ascii="Times New Roman" w:hAnsi="Times New Roman" w:eastAsia="宋体" w:cs="Times New Roman"/>
                <w:color w:val="auto"/>
                <w:sz w:val="21"/>
                <w:szCs w:val="21"/>
                <w:highlight w:val="none"/>
                <w:lang w:val="en-US" w:eastAsia="zh-CN"/>
              </w:rPr>
              <w:t>YZZ-SB-029-01</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vertAlign w:val="baseline"/>
                <w:lang w:val="en-US" w:eastAsia="zh-CN"/>
              </w:rPr>
              <w:t>0.2</w:t>
            </w:r>
          </w:p>
        </w:tc>
        <w:tc>
          <w:tcPr>
            <w:tcW w:w="0" w:type="auto"/>
            <w:tcBorders>
              <w:tl2br w:val="nil"/>
              <w:tr2bl w:val="nil"/>
            </w:tcBorders>
            <w:vAlign w:val="center"/>
          </w:tcPr>
          <w:p>
            <w:pPr>
              <w:keepNext w:val="0"/>
              <w:keepLines w:val="0"/>
              <w:pageBreakBefore w:val="0"/>
              <w:kinsoku/>
              <w:wordWrap/>
              <w:overflowPunct/>
              <w:topLinePunct w:val="0"/>
              <w:autoSpaceDE/>
              <w:autoSpaceDN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b w:val="0"/>
                <w:i w:val="0"/>
                <w:snapToGrid/>
                <w:color w:val="auto"/>
                <w:sz w:val="21"/>
                <w:szCs w:val="21"/>
                <w:highlight w:val="none"/>
                <w:u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31</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rPr>
              <w:t>锌</w:t>
            </w:r>
          </w:p>
        </w:tc>
        <w:tc>
          <w:tcPr>
            <w:tcW w:w="0" w:type="auto"/>
            <w:tcBorders>
              <w:tl2br w:val="nil"/>
              <w:tr2bl w:val="nil"/>
            </w:tcBorders>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第6部分：金属和类金属指标</w:t>
            </w:r>
          </w:p>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5750.6-2023</w:t>
            </w:r>
          </w:p>
          <w:p>
            <w:pPr>
              <w:autoSpaceDN w:val="0"/>
              <w:spacing w:line="280" w:lineRule="exact"/>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8.1 火焰原子吸收分光光度法</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原子吸收分光光度计</w:t>
            </w:r>
          </w:p>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AA-700</w:t>
            </w:r>
            <w:r>
              <w:rPr>
                <w:rFonts w:hint="default" w:ascii="Times New Roman" w:hAnsi="Times New Roman" w:eastAsia="宋体" w:cs="Times New Roman"/>
                <w:color w:val="auto"/>
                <w:sz w:val="21"/>
                <w:szCs w:val="21"/>
                <w:highlight w:val="none"/>
                <w:lang w:val="en-US" w:eastAsia="zh-CN"/>
              </w:rPr>
              <w:t>3</w:t>
            </w:r>
          </w:p>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rPr>
              <w:t>S</w:t>
            </w:r>
            <w:r>
              <w:rPr>
                <w:rFonts w:hint="default" w:ascii="Times New Roman" w:hAnsi="Times New Roman" w:eastAsia="宋体" w:cs="Times New Roman"/>
                <w:color w:val="auto"/>
                <w:sz w:val="21"/>
                <w:szCs w:val="21"/>
                <w:highlight w:val="none"/>
                <w:lang w:val="en-US" w:eastAsia="zh-CN"/>
              </w:rPr>
              <w:t>YZZ-SB-029-01</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vertAlign w:val="baseline"/>
                <w:lang w:val="en-US" w:eastAsia="zh-CN"/>
              </w:rPr>
              <w:t>0.05</w:t>
            </w:r>
          </w:p>
        </w:tc>
        <w:tc>
          <w:tcPr>
            <w:tcW w:w="0" w:type="auto"/>
            <w:tcBorders>
              <w:tl2br w:val="nil"/>
              <w:tr2bl w:val="nil"/>
            </w:tcBorders>
            <w:vAlign w:val="center"/>
          </w:tcPr>
          <w:p>
            <w:pPr>
              <w:keepNext w:val="0"/>
              <w:keepLines w:val="0"/>
              <w:pageBreakBefore w:val="0"/>
              <w:kinsoku/>
              <w:wordWrap/>
              <w:overflowPunct/>
              <w:topLinePunct w:val="0"/>
              <w:autoSpaceDE/>
              <w:autoSpaceDN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b w:val="0"/>
                <w:i w:val="0"/>
                <w:snapToGrid/>
                <w:color w:val="auto"/>
                <w:sz w:val="21"/>
                <w:szCs w:val="21"/>
                <w:highlight w:val="none"/>
                <w:u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32</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eastAsia="宋体" w:cs="Times New Roman"/>
                <w:color w:val="auto"/>
                <w:sz w:val="21"/>
                <w:szCs w:val="21"/>
                <w:highlight w:val="none"/>
              </w:rPr>
              <w:t>氯化物</w:t>
            </w:r>
          </w:p>
        </w:tc>
        <w:tc>
          <w:tcPr>
            <w:tcW w:w="0" w:type="auto"/>
            <w:tcBorders>
              <w:tl2br w:val="nil"/>
              <w:tr2bl w:val="nil"/>
            </w:tcBorders>
            <w:vAlign w:val="center"/>
          </w:tcPr>
          <w:p>
            <w:pPr>
              <w:autoSpaceDN w:val="0"/>
              <w:spacing w:line="26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第5部分：无机非金属指标</w:t>
            </w:r>
          </w:p>
          <w:p>
            <w:pPr>
              <w:autoSpaceDN w:val="0"/>
              <w:spacing w:line="26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5750.5-2023</w:t>
            </w:r>
          </w:p>
          <w:p>
            <w:pPr>
              <w:autoSpaceDN w:val="0"/>
              <w:spacing w:line="260" w:lineRule="exact"/>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5.1 硝酸银容量法</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酸式滴定管（棕）</w:t>
            </w:r>
          </w:p>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25mL</w:t>
            </w:r>
          </w:p>
          <w:p>
            <w:pPr>
              <w:widowControl/>
              <w:spacing w:line="280" w:lineRule="exact"/>
              <w:jc w:val="center"/>
              <w:textAlignment w:val="center"/>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SYZZ-SB-127-04</w:t>
            </w:r>
          </w:p>
        </w:tc>
        <w:tc>
          <w:tcPr>
            <w:tcW w:w="0" w:type="auto"/>
            <w:tcBorders>
              <w:tl2br w:val="nil"/>
              <w:tr2bl w:val="nil"/>
            </w:tcBorders>
            <w:vAlign w:val="center"/>
          </w:tcPr>
          <w:p>
            <w:pPr>
              <w:widowControl/>
              <w:jc w:val="center"/>
              <w:textAlignment w:val="center"/>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color w:val="auto"/>
                <w:sz w:val="21"/>
                <w:szCs w:val="21"/>
                <w:highlight w:val="none"/>
              </w:rPr>
              <w:t>1.0</w:t>
            </w:r>
          </w:p>
        </w:tc>
        <w:tc>
          <w:tcPr>
            <w:tcW w:w="0" w:type="auto"/>
            <w:tcBorders>
              <w:tl2br w:val="nil"/>
              <w:tr2bl w:val="nil"/>
            </w:tcBorders>
            <w:vAlign w:val="center"/>
          </w:tcPr>
          <w:p>
            <w:pPr>
              <w:autoSpaceDN w:val="0"/>
              <w:jc w:val="center"/>
              <w:textAlignment w:val="center"/>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color w:val="auto"/>
                <w:kern w:val="0"/>
                <w:sz w:val="21"/>
                <w:szCs w:val="21"/>
                <w:highlight w:val="none"/>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33</w:t>
            </w:r>
          </w:p>
        </w:tc>
        <w:tc>
          <w:tcPr>
            <w:tcW w:w="0" w:type="auto"/>
            <w:gridSpan w:val="2"/>
            <w:tcBorders>
              <w:tl2br w:val="nil"/>
              <w:tr2bl w:val="nil"/>
            </w:tcBorders>
            <w:vAlign w:val="center"/>
          </w:tcPr>
          <w:p>
            <w:pPr>
              <w:jc w:val="center"/>
              <w:rPr>
                <w:rFonts w:hint="default" w:ascii="Times New Roman" w:hAnsi="Times New Roman" w:eastAsia="宋体" w:cs="Times New Roman"/>
                <w:sz w:val="21"/>
                <w:szCs w:val="21"/>
                <w:highlight w:val="none"/>
                <w:vertAlign w:val="baseline"/>
                <w:lang w:val="en-US" w:eastAsia="zh-CN" w:bidi="ar-SA"/>
              </w:rPr>
            </w:pPr>
            <w:r>
              <w:rPr>
                <w:rFonts w:hint="default" w:ascii="Times New Roman" w:hAnsi="Times New Roman" w:eastAsia="宋体" w:cs="Times New Roman"/>
                <w:sz w:val="21"/>
                <w:szCs w:val="21"/>
                <w:highlight w:val="none"/>
                <w:vertAlign w:val="baseline"/>
                <w:lang w:val="en-US" w:eastAsia="zh-CN"/>
              </w:rPr>
              <w:t>硫酸盐</w:t>
            </w:r>
          </w:p>
        </w:tc>
        <w:tc>
          <w:tcPr>
            <w:tcW w:w="0" w:type="auto"/>
            <w:tcBorders>
              <w:tl2br w:val="nil"/>
              <w:tr2bl w:val="nil"/>
            </w:tcBorders>
            <w:vAlign w:val="center"/>
          </w:tcPr>
          <w:p>
            <w:pPr>
              <w:autoSpaceDN w:val="0"/>
              <w:spacing w:line="26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第5部分：无机非金属指标</w:t>
            </w:r>
          </w:p>
          <w:p>
            <w:pPr>
              <w:autoSpaceDN w:val="0"/>
              <w:spacing w:line="26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5750.5-2023</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4.3 铬酸钡分光光度法 （热法）</w:t>
            </w:r>
          </w:p>
        </w:tc>
        <w:tc>
          <w:tcPr>
            <w:tcW w:w="0" w:type="auto"/>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紫外可见分光光度计</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T6新世纪</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SYZZ-SB-028-02</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5</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34</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rPr>
              <w:t>溶解性总固体</w:t>
            </w:r>
          </w:p>
        </w:tc>
        <w:tc>
          <w:tcPr>
            <w:tcW w:w="0" w:type="auto"/>
            <w:tcBorders>
              <w:tl2br w:val="nil"/>
              <w:tr2bl w:val="nil"/>
            </w:tcBorders>
            <w:vAlign w:val="center"/>
          </w:tcPr>
          <w:p>
            <w:pPr>
              <w:adjustRightInd w:val="0"/>
              <w:snapToGrid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第4部分：感官性状和物理指标</w:t>
            </w:r>
          </w:p>
          <w:p>
            <w:pPr>
              <w:adjustRightInd w:val="0"/>
              <w:snapToGrid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5750.4-2023</w:t>
            </w:r>
          </w:p>
          <w:p>
            <w:pPr>
              <w:keepNext w:val="0"/>
              <w:keepLines w:val="0"/>
              <w:pageBreakBefore w:val="0"/>
              <w:kinsoku/>
              <w:wordWrap/>
              <w:overflowPunct/>
              <w:topLinePunct w:val="0"/>
              <w:autoSpaceDE/>
              <w:autoSpaceDN/>
              <w:bidi w:val="0"/>
              <w:adjustRightInd/>
              <w:spacing w:line="280" w:lineRule="exact"/>
              <w:jc w:val="center"/>
              <w:textAlignment w:val="auto"/>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11.1 称重法</w:t>
            </w:r>
          </w:p>
        </w:tc>
        <w:tc>
          <w:tcPr>
            <w:tcW w:w="0" w:type="auto"/>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电子天平</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BSA124S</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vertAlign w:val="baseline"/>
              </w:rPr>
              <w:t>SY</w:t>
            </w:r>
            <w:r>
              <w:rPr>
                <w:rFonts w:hint="default" w:ascii="Times New Roman" w:hAnsi="Times New Roman" w:eastAsia="宋体" w:cs="Times New Roman"/>
                <w:color w:val="auto"/>
                <w:sz w:val="21"/>
                <w:szCs w:val="21"/>
                <w:highlight w:val="none"/>
                <w:vertAlign w:val="baseline"/>
                <w:lang w:val="en-US" w:eastAsia="zh-CN"/>
              </w:rPr>
              <w:t>ZZ</w:t>
            </w:r>
            <w:r>
              <w:rPr>
                <w:rFonts w:hint="default" w:ascii="Times New Roman" w:hAnsi="Times New Roman" w:eastAsia="宋体" w:cs="Times New Roman"/>
                <w:color w:val="auto"/>
                <w:sz w:val="21"/>
                <w:szCs w:val="21"/>
                <w:highlight w:val="none"/>
                <w:vertAlign w:val="baseline"/>
              </w:rPr>
              <w:t>-SB-0</w:t>
            </w:r>
            <w:r>
              <w:rPr>
                <w:rFonts w:hint="default" w:ascii="Times New Roman" w:hAnsi="Times New Roman" w:eastAsia="宋体" w:cs="Times New Roman"/>
                <w:color w:val="auto"/>
                <w:sz w:val="21"/>
                <w:szCs w:val="21"/>
                <w:highlight w:val="none"/>
                <w:vertAlign w:val="baseline"/>
                <w:lang w:val="en-US" w:eastAsia="zh-CN"/>
              </w:rPr>
              <w:t>07-01</w:t>
            </w:r>
          </w:p>
        </w:tc>
        <w:tc>
          <w:tcPr>
            <w:tcW w:w="0" w:type="auto"/>
            <w:tcBorders>
              <w:tl2br w:val="nil"/>
              <w:tr2bl w:val="nil"/>
            </w:tcBorders>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vertAlign w:val="baseline"/>
                <w:lang w:val="en-US" w:eastAsia="zh-CN"/>
              </w:rPr>
              <w:t>——</w:t>
            </w:r>
          </w:p>
        </w:tc>
        <w:tc>
          <w:tcPr>
            <w:tcW w:w="0" w:type="auto"/>
            <w:tcBorders>
              <w:tl2br w:val="nil"/>
              <w:tr2bl w:val="nil"/>
            </w:tcBorders>
            <w:vAlign w:val="center"/>
          </w:tcPr>
          <w:p>
            <w:pPr>
              <w:kinsoku/>
              <w:autoSpaceDE/>
              <w:autoSpaceDN w:val="0"/>
              <w:spacing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35</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eastAsia="宋体" w:cs="Times New Roman"/>
                <w:color w:val="auto"/>
                <w:sz w:val="21"/>
                <w:szCs w:val="21"/>
                <w:highlight w:val="none"/>
              </w:rPr>
              <w:t>总硬度</w:t>
            </w:r>
          </w:p>
        </w:tc>
        <w:tc>
          <w:tcPr>
            <w:tcW w:w="0" w:type="auto"/>
            <w:tcBorders>
              <w:tl2br w:val="nil"/>
              <w:tr2bl w:val="nil"/>
            </w:tcBorders>
            <w:vAlign w:val="center"/>
          </w:tcPr>
          <w:p>
            <w:pPr>
              <w:adjustRightInd w:val="0"/>
              <w:snapToGrid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第4部分：感官性状和物理指标</w:t>
            </w:r>
          </w:p>
          <w:p>
            <w:pPr>
              <w:adjustRightInd w:val="0"/>
              <w:snapToGrid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5750.4-2023</w:t>
            </w:r>
          </w:p>
          <w:p>
            <w:pPr>
              <w:adjustRightInd w:val="0"/>
              <w:snapToGrid w:val="0"/>
              <w:spacing w:line="280" w:lineRule="exact"/>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10.1 乙二胺四乙酸二钠滴定法</w:t>
            </w:r>
          </w:p>
        </w:tc>
        <w:tc>
          <w:tcPr>
            <w:tcW w:w="0" w:type="auto"/>
            <w:tcBorders>
              <w:tl2br w:val="nil"/>
              <w:tr2bl w:val="nil"/>
            </w:tcBorders>
            <w:vAlign w:val="center"/>
          </w:tcPr>
          <w:p>
            <w:pPr>
              <w:keepNext w:val="0"/>
              <w:keepLines w:val="0"/>
              <w:pageBreakBefore w:val="0"/>
              <w:kinsoku/>
              <w:wordWrap/>
              <w:overflowPunct/>
              <w:topLinePunct w:val="0"/>
              <w:bidi w:val="0"/>
              <w:adjustRightInd w:val="0"/>
              <w:snapToGrid w:val="0"/>
              <w:spacing w:line="280" w:lineRule="exact"/>
              <w:jc w:val="center"/>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酸式滴定管</w:t>
            </w:r>
          </w:p>
          <w:p>
            <w:pPr>
              <w:keepNext w:val="0"/>
              <w:keepLines w:val="0"/>
              <w:pageBreakBefore w:val="0"/>
              <w:kinsoku/>
              <w:wordWrap/>
              <w:overflowPunct/>
              <w:topLinePunct w:val="0"/>
              <w:bidi w:val="0"/>
              <w:adjustRightInd w:val="0"/>
              <w:snapToGrid w:val="0"/>
              <w:spacing w:line="280" w:lineRule="exact"/>
              <w:jc w:val="center"/>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25mL</w:t>
            </w:r>
          </w:p>
          <w:p>
            <w:pPr>
              <w:keepNext w:val="0"/>
              <w:keepLines w:val="0"/>
              <w:pageBreakBefore w:val="0"/>
              <w:kinsoku/>
              <w:wordWrap/>
              <w:overflowPunct/>
              <w:topLinePunct w:val="0"/>
              <w:bidi w:val="0"/>
              <w:adjustRightInd w:val="0"/>
              <w:snapToGrid w:val="0"/>
              <w:spacing w:line="280" w:lineRule="exact"/>
              <w:jc w:val="center"/>
              <w:outlineLvl w:val="9"/>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b w:val="0"/>
                <w:bCs w:val="0"/>
                <w:color w:val="auto"/>
                <w:sz w:val="21"/>
                <w:szCs w:val="21"/>
                <w:highlight w:val="none"/>
                <w:lang w:val="en-US" w:eastAsia="zh-CN"/>
              </w:rPr>
              <w:t>SYZZ-SB-127-01</w:t>
            </w:r>
          </w:p>
        </w:tc>
        <w:tc>
          <w:tcPr>
            <w:tcW w:w="0" w:type="auto"/>
            <w:tcBorders>
              <w:tl2br w:val="nil"/>
              <w:tr2bl w:val="nil"/>
            </w:tcBorders>
            <w:vAlign w:val="center"/>
          </w:tcPr>
          <w:p>
            <w:pPr>
              <w:widowControl/>
              <w:jc w:val="center"/>
              <w:textAlignment w:val="center"/>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color w:val="000000"/>
                <w:sz w:val="21"/>
                <w:szCs w:val="21"/>
                <w:highlight w:val="none"/>
                <w:lang w:bidi="ar"/>
              </w:rPr>
              <w:t>1.0</w:t>
            </w:r>
          </w:p>
        </w:tc>
        <w:tc>
          <w:tcPr>
            <w:tcW w:w="0" w:type="auto"/>
            <w:tcBorders>
              <w:tl2br w:val="nil"/>
              <w:tr2bl w:val="nil"/>
            </w:tcBorders>
            <w:vAlign w:val="center"/>
          </w:tcPr>
          <w:p>
            <w:pPr>
              <w:autoSpaceDN w:val="0"/>
              <w:jc w:val="center"/>
              <w:textAlignment w:val="center"/>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color w:val="000000"/>
                <w:sz w:val="21"/>
                <w:szCs w:val="21"/>
                <w:highlight w:val="none"/>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36</w:t>
            </w:r>
          </w:p>
        </w:tc>
        <w:tc>
          <w:tcPr>
            <w:tcW w:w="0" w:type="auto"/>
            <w:gridSpan w:val="2"/>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eastAsia="宋体" w:cs="Times New Roman"/>
                <w:bCs/>
                <w:color w:val="auto"/>
                <w:sz w:val="21"/>
                <w:szCs w:val="21"/>
                <w:highlight w:val="none"/>
              </w:rPr>
              <w:t>高锰酸盐指数（以O</w:t>
            </w:r>
            <w:r>
              <w:rPr>
                <w:rFonts w:hint="default" w:ascii="Times New Roman" w:hAnsi="Times New Roman" w:eastAsia="宋体" w:cs="Times New Roman"/>
                <w:bCs/>
                <w:color w:val="auto"/>
                <w:sz w:val="21"/>
                <w:szCs w:val="21"/>
                <w:highlight w:val="none"/>
                <w:vertAlign w:val="subscript"/>
              </w:rPr>
              <w:t>2</w:t>
            </w:r>
            <w:r>
              <w:rPr>
                <w:rFonts w:hint="default" w:ascii="Times New Roman" w:hAnsi="Times New Roman" w:eastAsia="宋体" w:cs="Times New Roman"/>
                <w:bCs/>
                <w:color w:val="auto"/>
                <w:sz w:val="21"/>
                <w:szCs w:val="21"/>
                <w:highlight w:val="none"/>
              </w:rPr>
              <w:t>计）</w:t>
            </w:r>
          </w:p>
        </w:tc>
        <w:tc>
          <w:tcPr>
            <w:tcW w:w="0" w:type="auto"/>
            <w:tcBorders>
              <w:tl2br w:val="nil"/>
              <w:tr2bl w:val="nil"/>
            </w:tcBorders>
            <w:vAlign w:val="center"/>
          </w:tcPr>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第7部分：有机物综合指标</w:t>
            </w:r>
          </w:p>
          <w:p>
            <w:pPr>
              <w:autoSpaceDN w:val="0"/>
              <w:spacing w:line="28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5750.7-2023</w:t>
            </w:r>
          </w:p>
          <w:p>
            <w:pPr>
              <w:autoSpaceDN w:val="0"/>
              <w:spacing w:line="280" w:lineRule="exact"/>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4.1 酸性高锰酸钾滴定法</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酸式滴定管（棕）</w:t>
            </w:r>
          </w:p>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25mL</w:t>
            </w:r>
          </w:p>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SYZZ-SB-127-04</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0.05</w:t>
            </w:r>
          </w:p>
        </w:tc>
        <w:tc>
          <w:tcPr>
            <w:tcW w:w="0" w:type="auto"/>
            <w:tcBorders>
              <w:tl2br w:val="nil"/>
              <w:tr2bl w:val="nil"/>
            </w:tcBorders>
            <w:vAlign w:val="center"/>
          </w:tcPr>
          <w:p>
            <w:pPr>
              <w:keepNext w:val="0"/>
              <w:keepLines w:val="0"/>
              <w:pageBreakBefore w:val="0"/>
              <w:kinsoku/>
              <w:wordWrap/>
              <w:overflowPunct/>
              <w:topLinePunct w:val="0"/>
              <w:autoSpaceDE/>
              <w:autoSpaceDN w:val="0"/>
              <w:bidi w:val="0"/>
              <w:spacing w:line="240" w:lineRule="auto"/>
              <w:ind w:right="0" w:rightChars="0"/>
              <w:jc w:val="center"/>
              <w:textAlignment w:val="center"/>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b w:val="0"/>
                <w:i w:val="0"/>
                <w:snapToGrid/>
                <w:color w:val="auto"/>
                <w:sz w:val="21"/>
                <w:szCs w:val="21"/>
                <w:highlight w:val="none"/>
                <w:u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w:t>
            </w:r>
          </w:p>
        </w:tc>
        <w:tc>
          <w:tcPr>
            <w:tcW w:w="0" w:type="auto"/>
            <w:gridSpan w:val="2"/>
            <w:tcBorders>
              <w:tl2br w:val="nil"/>
              <w:tr2bl w:val="nil"/>
            </w:tcBorders>
            <w:vAlign w:val="center"/>
          </w:tcPr>
          <w:p>
            <w:pPr>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eastAsia="宋体" w:cs="Times New Roman"/>
                <w:color w:val="auto"/>
                <w:sz w:val="21"/>
                <w:szCs w:val="21"/>
                <w:highlight w:val="none"/>
              </w:rPr>
              <w:t>氨（以N计）</w:t>
            </w:r>
          </w:p>
        </w:tc>
        <w:tc>
          <w:tcPr>
            <w:tcW w:w="0" w:type="auto"/>
            <w:tcBorders>
              <w:tl2br w:val="nil"/>
              <w:tr2bl w:val="nil"/>
            </w:tcBorders>
            <w:vAlign w:val="center"/>
          </w:tcPr>
          <w:p>
            <w:pPr>
              <w:autoSpaceDN w:val="0"/>
              <w:spacing w:line="26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生活饮用水标准检验方法 第5部分：无机非金属指标</w:t>
            </w:r>
          </w:p>
          <w:p>
            <w:pPr>
              <w:autoSpaceDN w:val="0"/>
              <w:spacing w:line="26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GB/T 5750.5-2023</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11.1 纳氏试剂分光光度法</w:t>
            </w:r>
          </w:p>
        </w:tc>
        <w:tc>
          <w:tcPr>
            <w:tcW w:w="0" w:type="auto"/>
            <w:tcBorders>
              <w:tl2br w:val="nil"/>
              <w:tr2bl w:val="nil"/>
            </w:tcBorders>
            <w:vAlign w:val="center"/>
          </w:tcPr>
          <w:p>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紫外可见分光光度计</w:t>
            </w:r>
          </w:p>
          <w:p>
            <w:pPr>
              <w:widowControl/>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T6新世纪</w:t>
            </w:r>
          </w:p>
          <w:p>
            <w:pPr>
              <w:widowControl/>
              <w:jc w:val="center"/>
              <w:textAlignment w:val="center"/>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color w:val="auto"/>
                <w:sz w:val="21"/>
                <w:szCs w:val="21"/>
                <w:highlight w:val="none"/>
              </w:rPr>
              <w:t>SYZZ-SB-028-02</w:t>
            </w:r>
          </w:p>
        </w:tc>
        <w:tc>
          <w:tcPr>
            <w:tcW w:w="0" w:type="auto"/>
            <w:tcBorders>
              <w:tl2br w:val="nil"/>
              <w:tr2bl w:val="nil"/>
            </w:tcBorders>
            <w:vAlign w:val="center"/>
          </w:tcPr>
          <w:p>
            <w:pPr>
              <w:widowControl/>
              <w:jc w:val="center"/>
              <w:textAlignment w:val="center"/>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color w:val="auto"/>
                <w:kern w:val="0"/>
                <w:sz w:val="21"/>
                <w:szCs w:val="21"/>
                <w:highlight w:val="none"/>
              </w:rPr>
              <w:t>0.02</w:t>
            </w:r>
          </w:p>
        </w:tc>
        <w:tc>
          <w:tcPr>
            <w:tcW w:w="0" w:type="auto"/>
            <w:tcBorders>
              <w:tl2br w:val="nil"/>
              <w:tr2bl w:val="nil"/>
            </w:tcBorders>
            <w:vAlign w:val="center"/>
          </w:tcPr>
          <w:p>
            <w:pPr>
              <w:autoSpaceDN w:val="0"/>
              <w:jc w:val="center"/>
              <w:textAlignment w:val="center"/>
              <w:rPr>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color w:val="auto"/>
                <w:kern w:val="0"/>
                <w:sz w:val="21"/>
                <w:szCs w:val="21"/>
                <w:highlight w:val="none"/>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38</w:t>
            </w:r>
          </w:p>
        </w:tc>
        <w:tc>
          <w:tcPr>
            <w:tcW w:w="0" w:type="auto"/>
            <w:gridSpan w:val="2"/>
            <w:tcBorders>
              <w:tl2br w:val="nil"/>
              <w:tr2bl w:val="nil"/>
            </w:tcBorders>
            <w:vAlign w:val="center"/>
          </w:tcPr>
          <w:p>
            <w:pPr>
              <w:autoSpaceDN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总α放射性</w:t>
            </w:r>
          </w:p>
        </w:tc>
        <w:tc>
          <w:tcPr>
            <w:tcW w:w="0" w:type="auto"/>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生活饮用水标准检验方法 第13部分：放射性指标</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GB/T 5750.13-2023</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4.1 低本底总α检测法</w:t>
            </w:r>
          </w:p>
        </w:tc>
        <w:tc>
          <w:tcPr>
            <w:tcW w:w="0" w:type="auto"/>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低本底α、β测量仪</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LB-2</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SYZZ-SB-075-02</w:t>
            </w:r>
          </w:p>
        </w:tc>
        <w:tc>
          <w:tcPr>
            <w:tcW w:w="1104" w:type="dxa"/>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0.02</w:t>
            </w:r>
          </w:p>
        </w:tc>
        <w:tc>
          <w:tcPr>
            <w:tcW w:w="0" w:type="auto"/>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Bq/L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39</w:t>
            </w:r>
          </w:p>
        </w:tc>
        <w:tc>
          <w:tcPr>
            <w:tcW w:w="0" w:type="auto"/>
            <w:gridSpan w:val="2"/>
            <w:tcBorders>
              <w:tl2br w:val="nil"/>
              <w:tr2bl w:val="nil"/>
            </w:tcBorders>
            <w:vAlign w:val="center"/>
          </w:tcPr>
          <w:p>
            <w:pPr>
              <w:autoSpaceDN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总β放射性</w:t>
            </w:r>
          </w:p>
        </w:tc>
        <w:tc>
          <w:tcPr>
            <w:tcW w:w="0" w:type="auto"/>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生活饮用水标准检验方法 第13部分：放射性指标</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GB/T 5750.13-2023</w:t>
            </w:r>
            <w:r>
              <w:rPr>
                <w:rFonts w:hint="default" w:ascii="Times New Roman" w:hAnsi="Times New Roman" w:eastAsia="宋体" w:cs="Times New Roman"/>
                <w:color w:val="auto"/>
                <w:sz w:val="21"/>
                <w:szCs w:val="21"/>
                <w:highlight w:val="none"/>
                <w:lang w:val="en-US" w:eastAsia="zh-CN"/>
              </w:rPr>
              <w:br w:type="textWrapping"/>
            </w:r>
            <w:r>
              <w:rPr>
                <w:rFonts w:hint="default" w:ascii="Times New Roman" w:hAnsi="Times New Roman" w:eastAsia="宋体" w:cs="Times New Roman"/>
                <w:color w:val="auto"/>
                <w:sz w:val="21"/>
                <w:szCs w:val="21"/>
                <w:highlight w:val="none"/>
                <w:lang w:val="en-US" w:eastAsia="zh-CN"/>
              </w:rPr>
              <w:t>5.1 低本底总β检测法</w:t>
            </w:r>
          </w:p>
        </w:tc>
        <w:tc>
          <w:tcPr>
            <w:tcW w:w="0" w:type="auto"/>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低本底α、β测量仪</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LB-2</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SYZZ-SB-075-02</w:t>
            </w:r>
          </w:p>
        </w:tc>
        <w:tc>
          <w:tcPr>
            <w:tcW w:w="1104" w:type="dxa"/>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0.03</w:t>
            </w:r>
          </w:p>
        </w:tc>
        <w:tc>
          <w:tcPr>
            <w:tcW w:w="0" w:type="auto"/>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Bq/L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40</w:t>
            </w:r>
          </w:p>
        </w:tc>
        <w:tc>
          <w:tcPr>
            <w:tcW w:w="1425" w:type="dxa"/>
            <w:gridSpan w:val="2"/>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游离氯</w:t>
            </w:r>
          </w:p>
        </w:tc>
        <w:tc>
          <w:tcPr>
            <w:tcW w:w="0" w:type="auto"/>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生活饮用水标准检验方法 第11部分：消毒剂指标</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GB/T 5750.11-2023</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4.1  N,N-二乙基对苯二胺（DPD）分光光度法  </w:t>
            </w:r>
          </w:p>
        </w:tc>
        <w:tc>
          <w:tcPr>
            <w:tcW w:w="0" w:type="auto"/>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多参数便携式水质分析仪LH-M900</w:t>
            </w:r>
          </w:p>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val="en-US" w:eastAsia="zh-CN"/>
              </w:rPr>
              <w:t>SYZZ-SB-114-(05-06)</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0.01</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kern w:val="0"/>
                <w:sz w:val="21"/>
                <w:szCs w:val="21"/>
                <w:highlight w:val="none"/>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41</w:t>
            </w:r>
          </w:p>
        </w:tc>
        <w:tc>
          <w:tcPr>
            <w:tcW w:w="1425" w:type="dxa"/>
            <w:gridSpan w:val="2"/>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总氯</w:t>
            </w:r>
          </w:p>
        </w:tc>
        <w:tc>
          <w:tcPr>
            <w:tcW w:w="0" w:type="auto"/>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生活饮用水标准检验方法</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第11部分：消毒剂指标</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GB/T 5750.11-2023</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5.1 现场 N,N-二乙基对苯二胺(DPD)法</w:t>
            </w:r>
          </w:p>
        </w:tc>
        <w:tc>
          <w:tcPr>
            <w:tcW w:w="0" w:type="auto"/>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多参数便携式水质分析仪LH-M900</w:t>
            </w:r>
          </w:p>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val="en-US" w:eastAsia="zh-CN"/>
              </w:rPr>
              <w:t>SYZZ-SB-114-(05-06)</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0.02</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kern w:val="0"/>
                <w:sz w:val="21"/>
                <w:szCs w:val="21"/>
                <w:highlight w:val="none"/>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w:t>
            </w:r>
          </w:p>
        </w:tc>
        <w:tc>
          <w:tcPr>
            <w:tcW w:w="1425" w:type="dxa"/>
            <w:gridSpan w:val="2"/>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臭氧</w:t>
            </w:r>
          </w:p>
        </w:tc>
        <w:tc>
          <w:tcPr>
            <w:tcW w:w="0" w:type="auto"/>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生活饮用水标准检验方法 第11部分：消毒剂指标</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GB/T 5750.11-2023</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9.2 靛蓝分光光度法 </w:t>
            </w:r>
          </w:p>
        </w:tc>
        <w:tc>
          <w:tcPr>
            <w:tcW w:w="0" w:type="auto"/>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多参数便携式水质分析仪LH-M900</w:t>
            </w:r>
          </w:p>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val="en-US" w:eastAsia="zh-CN"/>
              </w:rPr>
              <w:t>SYZZ-SB-114-(05-06)</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0.01</w:t>
            </w:r>
          </w:p>
        </w:tc>
        <w:tc>
          <w:tcPr>
            <w:tcW w:w="0" w:type="auto"/>
            <w:tcBorders>
              <w:tl2br w:val="nil"/>
              <w:tr2bl w:val="nil"/>
            </w:tcBorders>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kern w:val="0"/>
                <w:sz w:val="21"/>
                <w:szCs w:val="21"/>
                <w:highlight w:val="none"/>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43</w:t>
            </w:r>
          </w:p>
        </w:tc>
        <w:tc>
          <w:tcPr>
            <w:tcW w:w="1425" w:type="dxa"/>
            <w:gridSpan w:val="2"/>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二氧化氯</w:t>
            </w:r>
          </w:p>
        </w:tc>
        <w:tc>
          <w:tcPr>
            <w:tcW w:w="0" w:type="auto"/>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生活饮用水标准检验方法 第11部分：消毒剂指标</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GB/T 5750.11-2023</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8.4 现场N,N-二乙基对苯二胺(DPD)法</w:t>
            </w:r>
          </w:p>
        </w:tc>
        <w:tc>
          <w:tcPr>
            <w:tcW w:w="0" w:type="auto"/>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多参数便携式水质分析仪LH-M900</w:t>
            </w:r>
          </w:p>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SYZZ-SB-114-(05-06)</w:t>
            </w:r>
          </w:p>
        </w:tc>
        <w:tc>
          <w:tcPr>
            <w:tcW w:w="0" w:type="auto"/>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0.02</w:t>
            </w:r>
          </w:p>
        </w:tc>
        <w:tc>
          <w:tcPr>
            <w:tcW w:w="0" w:type="auto"/>
            <w:tcBorders>
              <w:tl2br w:val="nil"/>
              <w:tr2bl w:val="nil"/>
            </w:tcBorders>
            <w:vAlign w:val="center"/>
          </w:tcPr>
          <w:p>
            <w:pPr>
              <w:keepNext w:val="0"/>
              <w:keepLines w:val="0"/>
              <w:pageBreakBefore w:val="0"/>
              <w:widowControl w:val="0"/>
              <w:kinsoku/>
              <w:wordWrap/>
              <w:overflowPunct/>
              <w:topLinePunct w:val="0"/>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mg/L</w:t>
            </w:r>
          </w:p>
        </w:tc>
      </w:tr>
    </w:tbl>
    <w:p>
      <w:pPr>
        <w:keepNext w:val="0"/>
        <w:keepLines w:val="0"/>
        <w:pageBreakBefore w:val="0"/>
        <w:widowControl w:val="0"/>
        <w:kinsoku/>
        <w:wordWrap/>
        <w:overflowPunct/>
        <w:topLinePunct w:val="0"/>
        <w:bidi w:val="0"/>
        <w:adjustRightInd/>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b w:val="0"/>
          <w:bCs w:val="0"/>
          <w:color w:val="000000"/>
          <w:kern w:val="0"/>
          <w:sz w:val="24"/>
          <w:szCs w:val="24"/>
          <w:highlight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1"/>
        <w:rPr>
          <w:rFonts w:hint="default" w:ascii="Times New Roman" w:hAnsi="Times New Roman" w:eastAsia="宋体" w:cs="Times New Roman"/>
          <w:b/>
          <w:bCs/>
          <w:kern w:val="0"/>
          <w:sz w:val="28"/>
          <w:szCs w:val="28"/>
          <w:highlight w:val="none"/>
        </w:rPr>
      </w:pPr>
      <w:r>
        <w:rPr>
          <w:rFonts w:hint="eastAsia" w:ascii="Times New Roman" w:hAnsi="Times New Roman" w:eastAsia="宋体" w:cs="Times New Roman"/>
          <w:b/>
          <w:bCs/>
          <w:kern w:val="0"/>
          <w:sz w:val="28"/>
          <w:szCs w:val="28"/>
          <w:highlight w:val="none"/>
          <w:lang w:val="en-US" w:eastAsia="zh-CN"/>
        </w:rPr>
        <w:t>3、评价标准</w:t>
      </w:r>
    </w:p>
    <w:p>
      <w:pPr>
        <w:keepNext w:val="0"/>
        <w:keepLines w:val="0"/>
        <w:pageBreakBefore w:val="0"/>
        <w:widowControl w:val="0"/>
        <w:kinsoku/>
        <w:wordWrap/>
        <w:overflowPunct/>
        <w:topLinePunct w:val="0"/>
        <w:bidi w:val="0"/>
        <w:adjustRightInd/>
        <w:snapToGrid w:val="0"/>
        <w:spacing w:line="360" w:lineRule="auto"/>
        <w:ind w:left="0" w:leftChars="0" w:right="0" w:rightChars="0" w:firstLine="480" w:firstLineChars="200"/>
        <w:jc w:val="both"/>
        <w:textAlignment w:val="auto"/>
        <w:outlineLvl w:val="9"/>
        <w:rPr>
          <w:rFonts w:hint="eastAsia" w:ascii="Times New Roman" w:hAnsi="Times New Roman" w:eastAsia="宋体" w:cs="Times New Roman"/>
          <w:b w:val="0"/>
          <w:bCs w:val="0"/>
          <w:color w:val="000000"/>
          <w:kern w:val="0"/>
          <w:sz w:val="24"/>
          <w:szCs w:val="24"/>
          <w:highlight w:val="none"/>
          <w:lang w:val="en-US" w:eastAsia="zh-CN" w:bidi="ar"/>
        </w:rPr>
      </w:pPr>
      <w:r>
        <w:rPr>
          <w:rFonts w:hint="eastAsia" w:ascii="Times New Roman" w:hAnsi="Times New Roman" w:eastAsia="宋体" w:cs="Times New Roman"/>
          <w:b w:val="0"/>
          <w:bCs w:val="0"/>
          <w:color w:val="000000"/>
          <w:kern w:val="0"/>
          <w:sz w:val="24"/>
          <w:szCs w:val="24"/>
          <w:highlight w:val="none"/>
          <w:lang w:val="en-US" w:eastAsia="zh-CN" w:bidi="ar"/>
        </w:rPr>
        <w:t>本项目检测结果评价主要依据</w:t>
      </w:r>
      <w:r>
        <w:rPr>
          <w:rFonts w:hint="default" w:ascii="Times New Roman" w:hAnsi="Times New Roman" w:eastAsia="宋体" w:cs="Times New Roman"/>
          <w:b w:val="0"/>
          <w:bCs w:val="0"/>
          <w:color w:val="000000"/>
          <w:kern w:val="0"/>
          <w:sz w:val="24"/>
          <w:szCs w:val="24"/>
          <w:highlight w:val="none"/>
          <w:lang w:val="en-US" w:eastAsia="zh-CN" w:bidi="ar"/>
        </w:rPr>
        <w:t>《生活饮用水卫生标准》（GB5749-2022）</w:t>
      </w:r>
      <w:r>
        <w:rPr>
          <w:rFonts w:hint="eastAsia" w:ascii="Times New Roman" w:hAnsi="Times New Roman" w:eastAsia="宋体" w:cs="Times New Roman"/>
          <w:b w:val="0"/>
          <w:bCs w:val="0"/>
          <w:color w:val="000000"/>
          <w:kern w:val="0"/>
          <w:sz w:val="24"/>
          <w:szCs w:val="24"/>
          <w:highlight w:val="none"/>
          <w:lang w:val="en-US" w:eastAsia="zh-CN" w:bidi="ar"/>
        </w:rPr>
        <w:t>进行，具体评价限值详见表3。</w:t>
      </w:r>
    </w:p>
    <w:tbl>
      <w:tblPr>
        <w:tblStyle w:val="15"/>
        <w:tblW w:w="4969" w:type="pct"/>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5"/>
        <w:gridCol w:w="2460"/>
        <w:gridCol w:w="5074"/>
        <w:gridCol w:w="1721"/>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325" w:type="pct"/>
            <w:tcBorders>
              <w:tl2br w:val="nil"/>
              <w:tr2bl w:val="nil"/>
            </w:tcBorders>
            <w:noWrap w:val="0"/>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序号</w:t>
            </w:r>
          </w:p>
        </w:tc>
        <w:tc>
          <w:tcPr>
            <w:tcW w:w="1242" w:type="pct"/>
            <w:tcBorders>
              <w:tl2br w:val="nil"/>
              <w:tr2bl w:val="nil"/>
            </w:tcBorders>
            <w:noWrap w:val="0"/>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检测项目</w:t>
            </w:r>
          </w:p>
        </w:tc>
        <w:tc>
          <w:tcPr>
            <w:tcW w:w="2562" w:type="pct"/>
            <w:tcBorders>
              <w:tl2br w:val="nil"/>
              <w:tr2bl w:val="nil"/>
            </w:tcBorders>
            <w:noWrap w:val="0"/>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《生活饮用水卫生标准》（GB5749-2022）标准限值</w:t>
            </w:r>
          </w:p>
        </w:tc>
        <w:tc>
          <w:tcPr>
            <w:tcW w:w="869" w:type="pct"/>
            <w:tcBorders>
              <w:tl2br w:val="nil"/>
              <w:tr2bl w:val="nil"/>
            </w:tcBorders>
            <w:noWrap w:val="0"/>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单位</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25" w:type="pct"/>
            <w:tcBorders>
              <w:tl2br w:val="nil"/>
              <w:tr2bl w:val="nil"/>
            </w:tcBorders>
            <w:noWrap w:val="0"/>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1242" w:type="pct"/>
            <w:tcBorders>
              <w:tl2br w:val="nil"/>
              <w:tr2bl w:val="nil"/>
            </w:tcBorders>
            <w:noWrap w:val="0"/>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总大肠菌群</w:t>
            </w:r>
          </w:p>
        </w:tc>
        <w:tc>
          <w:tcPr>
            <w:tcW w:w="2562" w:type="pct"/>
            <w:tcBorders>
              <w:tl2br w:val="nil"/>
              <w:tr2bl w:val="nil"/>
            </w:tcBorders>
            <w:noWrap w:val="0"/>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不应检出</w:t>
            </w:r>
          </w:p>
        </w:tc>
        <w:tc>
          <w:tcPr>
            <w:tcW w:w="869" w:type="pct"/>
            <w:tcBorders>
              <w:tl2br w:val="nil"/>
              <w:tr2bl w:val="nil"/>
            </w:tcBorders>
            <w:noWrap w:val="0"/>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MPN/100m</w:t>
            </w:r>
            <w:r>
              <w:rPr>
                <w:rFonts w:hint="default" w:ascii="Times New Roman" w:hAnsi="Times New Roman" w:eastAsia="宋体" w:cs="Times New Roman"/>
                <w:color w:val="auto"/>
                <w:sz w:val="21"/>
                <w:szCs w:val="21"/>
                <w:highlight w:val="none"/>
                <w:lang w:val="en-US" w:eastAsia="zh-CN"/>
              </w:rPr>
              <w:t>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25" w:type="pct"/>
            <w:tcBorders>
              <w:tl2br w:val="nil"/>
              <w:tr2bl w:val="nil"/>
            </w:tcBorders>
            <w:noWrap w:val="0"/>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1242" w:type="pct"/>
            <w:tcBorders>
              <w:tl2br w:val="nil"/>
              <w:tr2bl w:val="nil"/>
            </w:tcBorders>
            <w:noWrap w:val="0"/>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大肠埃希氏菌</w:t>
            </w:r>
          </w:p>
        </w:tc>
        <w:tc>
          <w:tcPr>
            <w:tcW w:w="2562" w:type="pct"/>
            <w:tcBorders>
              <w:tl2br w:val="nil"/>
              <w:tr2bl w:val="nil"/>
            </w:tcBorders>
            <w:noWrap w:val="0"/>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不应检出</w:t>
            </w:r>
          </w:p>
        </w:tc>
        <w:tc>
          <w:tcPr>
            <w:tcW w:w="869" w:type="pct"/>
            <w:tcBorders>
              <w:tl2br w:val="nil"/>
              <w:tr2bl w:val="nil"/>
            </w:tcBorders>
            <w:noWrap w:val="0"/>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MPN/100m</w:t>
            </w:r>
            <w:r>
              <w:rPr>
                <w:rFonts w:hint="default" w:ascii="Times New Roman" w:hAnsi="Times New Roman" w:eastAsia="宋体" w:cs="Times New Roman"/>
                <w:color w:val="auto"/>
                <w:sz w:val="21"/>
                <w:szCs w:val="21"/>
                <w:highlight w:val="none"/>
                <w:lang w:val="en-US" w:eastAsia="zh-CN"/>
              </w:rPr>
              <w:t>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菌落总数</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100</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CFU/mL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砷</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0.01</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lang w:eastAsia="zh-CN"/>
              </w:rPr>
              <w:t>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镉</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0.005</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lang w:val="en-US" w:eastAsia="zh-CN"/>
              </w:rPr>
              <w:t>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铬（六价）</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0.05</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铅</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0.01</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lang w:val="en-US" w:eastAsia="zh-CN"/>
              </w:rPr>
              <w:t>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汞</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0.001</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氰化物</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0.05</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氟化物</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11</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硝酸盐</w:t>
            </w:r>
            <w:r>
              <w:rPr>
                <w:rFonts w:hint="default" w:ascii="Times New Roman" w:hAnsi="Times New Roman" w:eastAsia="宋体" w:cs="Times New Roman"/>
                <w:color w:val="auto"/>
                <w:sz w:val="21"/>
                <w:szCs w:val="21"/>
                <w:highlight w:val="none"/>
                <w:lang w:eastAsia="zh-CN"/>
              </w:rPr>
              <w:t>（以</w:t>
            </w:r>
            <w:r>
              <w:rPr>
                <w:rFonts w:hint="default" w:ascii="Times New Roman" w:hAnsi="Times New Roman" w:eastAsia="宋体" w:cs="Times New Roman"/>
                <w:color w:val="auto"/>
                <w:sz w:val="21"/>
                <w:szCs w:val="21"/>
                <w:highlight w:val="none"/>
                <w:lang w:val="en-US" w:eastAsia="zh-CN"/>
              </w:rPr>
              <w:t>N计</w:t>
            </w:r>
            <w:r>
              <w:rPr>
                <w:rFonts w:hint="default" w:ascii="Times New Roman" w:hAnsi="Times New Roman" w:eastAsia="宋体" w:cs="Times New Roman"/>
                <w:color w:val="auto"/>
                <w:sz w:val="21"/>
                <w:szCs w:val="21"/>
                <w:highlight w:val="none"/>
                <w:lang w:eastAsia="zh-CN"/>
              </w:rPr>
              <w:t>）</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三氯甲烷</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0.06</w:t>
            </w:r>
          </w:p>
        </w:tc>
        <w:tc>
          <w:tcPr>
            <w:tcW w:w="869"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13</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一氯二溴甲烷</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w:t>
            </w:r>
          </w:p>
        </w:tc>
        <w:tc>
          <w:tcPr>
            <w:tcW w:w="869"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14</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二氯一溴甲烷</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0.06</w:t>
            </w:r>
          </w:p>
        </w:tc>
        <w:tc>
          <w:tcPr>
            <w:tcW w:w="869"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15</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三溴甲烷</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w:t>
            </w:r>
          </w:p>
        </w:tc>
        <w:tc>
          <w:tcPr>
            <w:tcW w:w="869"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16</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三卤甲烷（包含</w:t>
            </w:r>
            <w:r>
              <w:rPr>
                <w:rFonts w:hint="default" w:ascii="Times New Roman" w:hAnsi="Times New Roman" w:eastAsia="宋体" w:cs="Times New Roman"/>
                <w:color w:val="auto"/>
                <w:sz w:val="21"/>
                <w:szCs w:val="21"/>
                <w:highlight w:val="none"/>
              </w:rPr>
              <w:t>三氯甲烷</w:t>
            </w:r>
            <w:r>
              <w:rPr>
                <w:rFonts w:hint="default" w:ascii="Times New Roman" w:hAnsi="Times New Roman" w:eastAsia="宋体" w:cs="Times New Roman"/>
                <w:color w:val="auto"/>
                <w:sz w:val="21"/>
                <w:szCs w:val="21"/>
                <w:highlight w:val="none"/>
                <w:lang w:val="en-US" w:eastAsia="zh-CN"/>
              </w:rPr>
              <w:t>、一氯二溴甲烷、二氯一溴甲烷、三溴甲烷）</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该类化合物中各种化合物的实测浓度与其各自限值的比值之和不超过1</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17</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二氯乙酸</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0.05</w:t>
            </w:r>
          </w:p>
        </w:tc>
        <w:tc>
          <w:tcPr>
            <w:tcW w:w="869"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18</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三氯乙酸</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w:t>
            </w:r>
          </w:p>
        </w:tc>
        <w:tc>
          <w:tcPr>
            <w:tcW w:w="869"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19</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溴酸盐</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0.01</w:t>
            </w:r>
          </w:p>
        </w:tc>
        <w:tc>
          <w:tcPr>
            <w:tcW w:w="869"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亚氯酸盐</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0.7</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21</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氯酸盐</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0.7</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22</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色度</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15</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度</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23</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浑浊度</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NTU</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24</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臭和味</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无异臭、异味</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25</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肉眼可见物</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无</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26</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pH</w:t>
            </w:r>
            <w:r>
              <w:rPr>
                <w:rFonts w:hint="default" w:ascii="Times New Roman" w:hAnsi="Times New Roman" w:eastAsia="宋体" w:cs="Times New Roman"/>
                <w:color w:val="auto"/>
                <w:sz w:val="21"/>
                <w:szCs w:val="21"/>
                <w:highlight w:val="none"/>
                <w:lang w:val="en-US" w:eastAsia="zh-CN"/>
              </w:rPr>
              <w:t>值</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不小于6.5且不大于8.5</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无量纲</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27</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铝</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28</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铁</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0.3</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29</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锰</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铜</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31</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锌</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32</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氯化物</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250</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33</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硫酸盐</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250</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34</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溶解性总固体</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1000</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35</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总硬度</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450</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36</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高锰酸盐指数（以O</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color w:val="auto"/>
                <w:sz w:val="21"/>
                <w:szCs w:val="21"/>
                <w:highlight w:val="none"/>
              </w:rPr>
              <w:t>计）</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氨（以N计）</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38</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总α放射性</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0.5（指导值）</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Bq/L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39</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总β放射性</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0.5（指导值）</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Bq/L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40</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游离氯</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出厂水和末梢水限值≤2，出厂水余量≥0.3，末梢水余量≥0.05（与水接触时间≥30min）</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41</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总氯</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出厂水和末梢水限值≤3，出厂水余量≥0.5，末梢水余量≥0.05（与水接触时间≥120min）</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臭氧</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出厂水和末梢水限值≤0.3，末梢水余量≥0.02如采用其他协同消毒方式，消毒剂限值及余量应满足相应要求（与水接触时间≥12min）</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mg/L</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43</w:t>
            </w:r>
          </w:p>
        </w:tc>
        <w:tc>
          <w:tcPr>
            <w:tcW w:w="124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二氧化氯</w:t>
            </w:r>
          </w:p>
        </w:tc>
        <w:tc>
          <w:tcPr>
            <w:tcW w:w="2562" w:type="pct"/>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出厂水和末梢水限值≤0.8，出厂水余量≥0.1，末梢水余量≥0.02（与水接触时间≥30min）</w:t>
            </w:r>
          </w:p>
        </w:tc>
        <w:tc>
          <w:tcPr>
            <w:tcW w:w="0" w:type="auto"/>
            <w:tcBorders>
              <w:tl2br w:val="nil"/>
              <w:tr2bl w:val="nil"/>
            </w:tcBorders>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mg/L</w:t>
            </w:r>
          </w:p>
        </w:tc>
      </w:tr>
    </w:tbl>
    <w:p>
      <w:pPr>
        <w:pStyle w:val="9"/>
        <w:keepNext w:val="0"/>
        <w:keepLines w:val="0"/>
        <w:pageBreakBefore w:val="0"/>
        <w:widowControl w:val="0"/>
        <w:numPr>
          <w:ilvl w:val="0"/>
          <w:numId w:val="0"/>
        </w:numPr>
        <w:kinsoku/>
        <w:wordWrap/>
        <w:overflowPunct/>
        <w:topLinePunct w:val="0"/>
        <w:bidi w:val="0"/>
        <w:snapToGrid/>
        <w:spacing w:line="360" w:lineRule="auto"/>
        <w:ind w:leftChars="0"/>
        <w:jc w:val="both"/>
        <w:textAlignment w:val="auto"/>
        <w:outlineLvl w:val="0"/>
        <w:rPr>
          <w:rFonts w:hint="eastAsia" w:ascii="Times New Roman" w:eastAsia="宋体" w:cs="Times New Roman"/>
          <w:b/>
          <w:bCs/>
          <w:color w:val="auto"/>
          <w:sz w:val="30"/>
          <w:szCs w:val="30"/>
          <w:highlight w:val="none"/>
          <w:lang w:val="en-US" w:eastAsia="zh-CN"/>
        </w:rPr>
      </w:pPr>
      <w:r>
        <w:rPr>
          <w:rFonts w:hint="eastAsia" w:ascii="Times New Roman" w:eastAsia="宋体" w:cs="Times New Roman"/>
          <w:b/>
          <w:bCs/>
          <w:color w:val="auto"/>
          <w:sz w:val="30"/>
          <w:szCs w:val="30"/>
          <w:highlight w:val="none"/>
          <w:lang w:val="en-US" w:eastAsia="zh-CN"/>
        </w:rPr>
        <w:t>三、检测结果分析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1"/>
        <w:rPr>
          <w:rFonts w:hint="default" w:ascii="Times New Roman" w:hAnsi="Times New Roman" w:eastAsia="宋体" w:cs="Times New Roman"/>
          <w:b/>
          <w:bCs/>
          <w:kern w:val="0"/>
          <w:sz w:val="28"/>
          <w:szCs w:val="28"/>
          <w:highlight w:val="none"/>
          <w:lang w:val="en-US" w:eastAsia="zh-CN"/>
        </w:rPr>
      </w:pPr>
      <w:r>
        <w:rPr>
          <w:rFonts w:hint="eastAsia" w:ascii="Times New Roman" w:hAnsi="Times New Roman" w:eastAsia="宋体" w:cs="Times New Roman"/>
          <w:b/>
          <w:bCs/>
          <w:kern w:val="0"/>
          <w:sz w:val="28"/>
          <w:szCs w:val="28"/>
          <w:highlight w:val="none"/>
          <w:lang w:val="en-US" w:eastAsia="zh-CN"/>
        </w:rPr>
        <w:t>1、采样点位合格情况</w:t>
      </w:r>
    </w:p>
    <w:tbl>
      <w:tblPr>
        <w:tblStyle w:val="15"/>
        <w:tblW w:w="4979" w:type="pct"/>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9"/>
        <w:gridCol w:w="4311"/>
        <w:gridCol w:w="2481"/>
        <w:gridCol w:w="2480"/>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bidi="ar-SA"/>
              </w:rPr>
            </w:pPr>
            <w:r>
              <w:rPr>
                <w:rFonts w:hint="default" w:ascii="Times New Roman" w:hAnsi="Times New Roman" w:cs="Times New Roman"/>
                <w:sz w:val="21"/>
                <w:szCs w:val="21"/>
                <w:highlight w:val="none"/>
              </w:rPr>
              <w:t>序号</w:t>
            </w:r>
          </w:p>
        </w:tc>
        <w:tc>
          <w:tcPr>
            <w:tcW w:w="4311"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cs="Times New Roman"/>
                <w:sz w:val="21"/>
                <w:szCs w:val="21"/>
                <w:highlight w:val="none"/>
              </w:rPr>
              <w:t>采样点位</w:t>
            </w:r>
          </w:p>
        </w:tc>
        <w:tc>
          <w:tcPr>
            <w:tcW w:w="125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eastAsia" w:ascii="Times New Roman" w:hAnsi="Times New Roman" w:eastAsia="宋体" w:cs="Times New Roman"/>
                <w:b w:val="0"/>
                <w:bCs w:val="0"/>
                <w:i w:val="0"/>
                <w:iCs w:val="0"/>
                <w:color w:val="auto"/>
                <w:kern w:val="0"/>
                <w:sz w:val="21"/>
                <w:szCs w:val="21"/>
                <w:u w:val="none"/>
                <w:lang w:val="en-US" w:eastAsia="zh-CN" w:bidi="ar"/>
              </w:rPr>
              <w:t>水样类型</w:t>
            </w:r>
          </w:p>
        </w:tc>
        <w:tc>
          <w:tcPr>
            <w:tcW w:w="12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snapToGrid/>
                <w:color w:val="auto"/>
                <w:sz w:val="21"/>
                <w:szCs w:val="21"/>
                <w:highlight w:val="none"/>
                <w:u w:val="none"/>
                <w:lang w:val="en-US" w:eastAsia="zh-CN" w:bidi="ar-SA"/>
              </w:rPr>
            </w:pPr>
            <w:r>
              <w:rPr>
                <w:rFonts w:hint="eastAsia" w:ascii="Times New Roman" w:hAnsi="Times New Roman" w:eastAsia="宋体" w:cs="Times New Roman"/>
                <w:b w:val="0"/>
                <w:bCs w:val="0"/>
                <w:i w:val="0"/>
                <w:iCs w:val="0"/>
                <w:color w:val="auto"/>
                <w:kern w:val="0"/>
                <w:sz w:val="21"/>
                <w:szCs w:val="21"/>
                <w:u w:val="none"/>
                <w:lang w:val="en-US" w:eastAsia="zh-CN" w:bidi="ar"/>
              </w:rPr>
              <w:t>不符合项</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sz w:val="21"/>
                <w:szCs w:val="21"/>
                <w:highlight w:val="none"/>
              </w:rPr>
              <w:t>1</w:t>
            </w:r>
          </w:p>
        </w:tc>
        <w:tc>
          <w:tcPr>
            <w:tcW w:w="4311"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sz w:val="21"/>
                <w:szCs w:val="21"/>
                <w:highlight w:val="none"/>
                <w:lang w:eastAsia="zh-CN"/>
              </w:rPr>
              <w:t>北海宝马泵站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sz w:val="21"/>
                <w:szCs w:val="21"/>
                <w:highlight w:val="none"/>
                <w:lang w:val="en-US" w:eastAsia="zh-CN"/>
              </w:rPr>
              <w:t>2</w:t>
            </w:r>
          </w:p>
        </w:tc>
        <w:tc>
          <w:tcPr>
            <w:tcW w:w="4311"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sz w:val="21"/>
                <w:szCs w:val="21"/>
                <w:highlight w:val="none"/>
                <w:lang w:eastAsia="zh-CN"/>
              </w:rPr>
              <w:t>二台子自来水营业所</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eastAsia" w:ascii="Times New Roman" w:hAnsi="Times New Roman" w:eastAsia="宋体" w:cs="Times New Roman"/>
                <w:b w:val="0"/>
                <w:bCs w:val="0"/>
                <w:color w:val="auto"/>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sz w:val="21"/>
                <w:szCs w:val="21"/>
                <w:highlight w:val="none"/>
                <w:lang w:val="en-US" w:eastAsia="zh-CN"/>
              </w:rPr>
              <w:t>3</w:t>
            </w:r>
          </w:p>
        </w:tc>
        <w:tc>
          <w:tcPr>
            <w:tcW w:w="4311"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sz w:val="21"/>
                <w:szCs w:val="21"/>
                <w:highlight w:val="none"/>
                <w:lang w:eastAsia="zh-CN"/>
              </w:rPr>
              <w:t>金桥所汇新泵站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eastAsia" w:ascii="Times New Roman" w:hAnsi="Times New Roman" w:eastAsia="宋体" w:cs="Times New Roman"/>
                <w:b w:val="0"/>
                <w:bCs w:val="0"/>
                <w:color w:val="auto"/>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sz w:val="21"/>
                <w:szCs w:val="21"/>
                <w:highlight w:val="none"/>
                <w:lang w:val="en-US" w:eastAsia="zh-CN"/>
              </w:rPr>
              <w:t>4</w:t>
            </w:r>
          </w:p>
        </w:tc>
        <w:tc>
          <w:tcPr>
            <w:tcW w:w="4311"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sz w:val="21"/>
                <w:szCs w:val="21"/>
                <w:highlight w:val="none"/>
                <w:lang w:eastAsia="zh-CN"/>
              </w:rPr>
              <w:t>东塔所锦绣花园泵站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eastAsia" w:ascii="Times New Roman" w:hAnsi="Times New Roman" w:eastAsia="宋体" w:cs="Times New Roman"/>
                <w:b w:val="0"/>
                <w:bCs w:val="0"/>
                <w:color w:val="auto"/>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sz w:val="21"/>
                <w:szCs w:val="21"/>
                <w:highlight w:val="none"/>
                <w:lang w:val="en-US" w:eastAsia="zh-CN"/>
              </w:rPr>
              <w:t>5</w:t>
            </w:r>
          </w:p>
        </w:tc>
        <w:tc>
          <w:tcPr>
            <w:tcW w:w="4311"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sz w:val="21"/>
                <w:szCs w:val="21"/>
                <w:highlight w:val="none"/>
                <w:lang w:eastAsia="zh-CN"/>
              </w:rPr>
              <w:t>汽车城南区泵站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eastAsia" w:ascii="Times New Roman" w:hAnsi="Times New Roman" w:eastAsia="宋体" w:cs="Times New Roman"/>
                <w:b w:val="0"/>
                <w:bCs w:val="0"/>
                <w:color w:val="auto"/>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sz w:val="21"/>
                <w:szCs w:val="21"/>
                <w:highlight w:val="none"/>
                <w:lang w:val="en-US" w:eastAsia="zh-CN"/>
              </w:rPr>
              <w:t>6</w:t>
            </w:r>
          </w:p>
        </w:tc>
        <w:tc>
          <w:tcPr>
            <w:tcW w:w="4311"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sz w:val="21"/>
                <w:szCs w:val="21"/>
                <w:highlight w:val="none"/>
                <w:lang w:eastAsia="zh-CN"/>
              </w:rPr>
              <w:t>华园新村泵站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eastAsia" w:ascii="Times New Roman" w:hAnsi="Times New Roman" w:eastAsia="宋体" w:cs="Times New Roman"/>
                <w:b w:val="0"/>
                <w:bCs w:val="0"/>
                <w:color w:val="auto"/>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sz w:val="21"/>
                <w:szCs w:val="21"/>
                <w:highlight w:val="none"/>
                <w:lang w:val="en-US" w:eastAsia="zh-CN"/>
              </w:rPr>
              <w:t>7</w:t>
            </w:r>
          </w:p>
        </w:tc>
        <w:tc>
          <w:tcPr>
            <w:tcW w:w="4311"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sz w:val="21"/>
                <w:szCs w:val="21"/>
                <w:highlight w:val="none"/>
                <w:lang w:eastAsia="zh-CN"/>
              </w:rPr>
              <w:t>军区联勤部泵站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eastAsia" w:ascii="Times New Roman" w:hAnsi="Times New Roman" w:eastAsia="宋体" w:cs="Times New Roman"/>
                <w:b w:val="0"/>
                <w:bCs w:val="0"/>
                <w:color w:val="auto"/>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sz w:val="21"/>
                <w:szCs w:val="21"/>
                <w:highlight w:val="none"/>
                <w:lang w:val="en-US" w:eastAsia="zh-CN"/>
              </w:rPr>
              <w:t>8</w:t>
            </w:r>
          </w:p>
        </w:tc>
        <w:tc>
          <w:tcPr>
            <w:tcW w:w="4311"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sz w:val="21"/>
                <w:szCs w:val="21"/>
                <w:highlight w:val="none"/>
                <w:lang w:eastAsia="zh-CN"/>
              </w:rPr>
              <w:t>正轩悦堂泵站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eastAsia" w:ascii="Times New Roman" w:hAnsi="Times New Roman" w:eastAsia="宋体" w:cs="Times New Roman"/>
                <w:b w:val="0"/>
                <w:bCs w:val="0"/>
                <w:color w:val="auto"/>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sz w:val="21"/>
                <w:szCs w:val="21"/>
                <w:highlight w:val="none"/>
                <w:lang w:val="en-US" w:eastAsia="zh-CN"/>
              </w:rPr>
              <w:t>9</w:t>
            </w:r>
          </w:p>
        </w:tc>
        <w:tc>
          <w:tcPr>
            <w:tcW w:w="4311"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sz w:val="21"/>
                <w:szCs w:val="21"/>
                <w:highlight w:val="none"/>
                <w:lang w:eastAsia="zh-CN"/>
              </w:rPr>
              <w:t>玖成乐府泵站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eastAsia" w:ascii="Times New Roman" w:hAnsi="Times New Roman" w:eastAsia="宋体" w:cs="Times New Roman"/>
                <w:b w:val="0"/>
                <w:bCs w:val="0"/>
                <w:color w:val="auto"/>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sz w:val="21"/>
                <w:szCs w:val="21"/>
                <w:highlight w:val="none"/>
                <w:lang w:val="en-US" w:eastAsia="zh-CN"/>
              </w:rPr>
              <w:t>10</w:t>
            </w:r>
          </w:p>
        </w:tc>
        <w:tc>
          <w:tcPr>
            <w:tcW w:w="4311"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sz w:val="21"/>
                <w:szCs w:val="21"/>
                <w:highlight w:val="none"/>
                <w:lang w:eastAsia="zh-CN"/>
              </w:rPr>
              <w:t>工人村泵站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eastAsia" w:ascii="Times New Roman" w:hAnsi="Times New Roman" w:eastAsia="宋体" w:cs="Times New Roman"/>
                <w:b w:val="0"/>
                <w:bCs w:val="0"/>
                <w:color w:val="auto"/>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sz w:val="21"/>
                <w:szCs w:val="21"/>
                <w:highlight w:val="none"/>
                <w:lang w:val="en-US" w:eastAsia="zh-CN"/>
              </w:rPr>
              <w:t>11</w:t>
            </w:r>
          </w:p>
        </w:tc>
        <w:tc>
          <w:tcPr>
            <w:tcW w:w="4311"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sz w:val="21"/>
                <w:szCs w:val="21"/>
                <w:highlight w:val="none"/>
                <w:lang w:eastAsia="zh-CN"/>
              </w:rPr>
              <w:t>太清宫泵站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eastAsia" w:ascii="Times New Roman" w:hAnsi="Times New Roman" w:eastAsia="宋体" w:cs="Times New Roman"/>
                <w:b w:val="0"/>
                <w:bCs w:val="0"/>
                <w:color w:val="auto"/>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sz w:val="21"/>
                <w:szCs w:val="21"/>
                <w:highlight w:val="none"/>
                <w:lang w:val="en-US" w:eastAsia="zh-CN"/>
              </w:rPr>
              <w:t>12</w:t>
            </w:r>
          </w:p>
        </w:tc>
        <w:tc>
          <w:tcPr>
            <w:tcW w:w="4311"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sz w:val="21"/>
                <w:szCs w:val="21"/>
                <w:highlight w:val="none"/>
                <w:lang w:eastAsia="zh-CN"/>
              </w:rPr>
              <w:t>山东堡泵站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eastAsia" w:ascii="Times New Roman" w:hAnsi="Times New Roman" w:eastAsia="宋体" w:cs="Times New Roman"/>
                <w:b w:val="0"/>
                <w:bCs w:val="0"/>
                <w:color w:val="auto"/>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sz w:val="21"/>
                <w:szCs w:val="21"/>
                <w:highlight w:val="none"/>
                <w:lang w:val="en-US" w:eastAsia="zh-CN"/>
              </w:rPr>
              <w:t>13</w:t>
            </w:r>
          </w:p>
        </w:tc>
        <w:tc>
          <w:tcPr>
            <w:tcW w:w="4311"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sz w:val="21"/>
                <w:szCs w:val="21"/>
                <w:highlight w:val="none"/>
                <w:lang w:eastAsia="zh-CN"/>
              </w:rPr>
              <w:t>电话东泵站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eastAsia" w:ascii="Times New Roman" w:hAnsi="Times New Roman" w:eastAsia="宋体" w:cs="Times New Roman"/>
                <w:b w:val="0"/>
                <w:bCs w:val="0"/>
                <w:color w:val="auto"/>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sz w:val="21"/>
                <w:szCs w:val="21"/>
                <w:highlight w:val="none"/>
                <w:lang w:val="en-US" w:eastAsia="zh-CN"/>
              </w:rPr>
              <w:t>14</w:t>
            </w:r>
          </w:p>
        </w:tc>
        <w:tc>
          <w:tcPr>
            <w:tcW w:w="4311"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sz w:val="21"/>
                <w:szCs w:val="21"/>
                <w:highlight w:val="none"/>
                <w:lang w:eastAsia="zh-CN"/>
              </w:rPr>
              <w:t>翠生泵站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eastAsia" w:ascii="Times New Roman" w:hAnsi="Times New Roman" w:eastAsia="宋体" w:cs="Times New Roman"/>
                <w:b w:val="0"/>
                <w:bCs w:val="0"/>
                <w:color w:val="auto"/>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sz w:val="21"/>
                <w:szCs w:val="21"/>
                <w:highlight w:val="none"/>
                <w:lang w:val="en-US" w:eastAsia="zh-CN"/>
              </w:rPr>
              <w:t>15</w:t>
            </w:r>
          </w:p>
        </w:tc>
        <w:tc>
          <w:tcPr>
            <w:tcW w:w="4311"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sz w:val="21"/>
                <w:szCs w:val="21"/>
                <w:highlight w:val="none"/>
                <w:lang w:eastAsia="zh-CN"/>
              </w:rPr>
              <w:t>红袍泵站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eastAsia" w:ascii="Times New Roman" w:hAnsi="Times New Roman" w:eastAsia="宋体" w:cs="Times New Roman"/>
                <w:b w:val="0"/>
                <w:bCs w:val="0"/>
                <w:color w:val="auto"/>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sz w:val="21"/>
                <w:szCs w:val="21"/>
                <w:highlight w:val="none"/>
                <w:lang w:val="en-US" w:eastAsia="zh-CN"/>
              </w:rPr>
              <w:t>16</w:t>
            </w:r>
          </w:p>
        </w:tc>
        <w:tc>
          <w:tcPr>
            <w:tcW w:w="4311"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sz w:val="21"/>
                <w:szCs w:val="21"/>
                <w:highlight w:val="none"/>
                <w:lang w:eastAsia="zh-CN"/>
              </w:rPr>
              <w:t>中海寰宇泵站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eastAsia" w:ascii="Times New Roman" w:hAnsi="Times New Roman" w:eastAsia="宋体" w:cs="Times New Roman"/>
                <w:b w:val="0"/>
                <w:bCs w:val="0"/>
                <w:color w:val="auto"/>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sz w:val="21"/>
                <w:szCs w:val="21"/>
                <w:highlight w:val="none"/>
                <w:lang w:val="en-US" w:eastAsia="zh-CN"/>
              </w:rPr>
              <w:t>17</w:t>
            </w:r>
          </w:p>
        </w:tc>
        <w:tc>
          <w:tcPr>
            <w:tcW w:w="4311"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sz w:val="21"/>
                <w:szCs w:val="21"/>
                <w:highlight w:val="none"/>
                <w:lang w:eastAsia="zh-CN"/>
              </w:rPr>
              <w:t>中粮二期泵站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eastAsia" w:ascii="Times New Roman" w:hAnsi="Times New Roman" w:eastAsia="宋体" w:cs="Times New Roman"/>
                <w:b w:val="0"/>
                <w:bCs w:val="0"/>
                <w:color w:val="auto"/>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sz w:val="21"/>
                <w:szCs w:val="21"/>
                <w:highlight w:val="none"/>
                <w:lang w:val="en-US" w:eastAsia="zh-CN"/>
              </w:rPr>
              <w:t>18</w:t>
            </w:r>
          </w:p>
        </w:tc>
        <w:tc>
          <w:tcPr>
            <w:tcW w:w="4311"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sz w:val="21"/>
                <w:szCs w:val="21"/>
                <w:highlight w:val="none"/>
                <w:lang w:eastAsia="zh-CN"/>
              </w:rPr>
              <w:t>八号院泵站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eastAsia" w:ascii="Times New Roman" w:hAnsi="Times New Roman" w:eastAsia="宋体" w:cs="Times New Roman"/>
                <w:b w:val="0"/>
                <w:bCs w:val="0"/>
                <w:color w:val="auto"/>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sz w:val="21"/>
                <w:szCs w:val="21"/>
                <w:highlight w:val="none"/>
                <w:lang w:val="en-US" w:eastAsia="zh-CN"/>
              </w:rPr>
              <w:t>19</w:t>
            </w:r>
          </w:p>
        </w:tc>
        <w:tc>
          <w:tcPr>
            <w:tcW w:w="4311"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sz w:val="21"/>
                <w:szCs w:val="21"/>
                <w:highlight w:val="none"/>
                <w:lang w:eastAsia="zh-CN"/>
              </w:rPr>
              <w:t>陵北北区泵站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eastAsia" w:ascii="Times New Roman" w:hAnsi="Times New Roman" w:eastAsia="宋体" w:cs="Times New Roman"/>
                <w:b w:val="0"/>
                <w:bCs w:val="0"/>
                <w:color w:val="auto"/>
                <w:sz w:val="21"/>
                <w:szCs w:val="21"/>
                <w:highlight w:val="none"/>
                <w:lang w:val="en-US" w:eastAsia="zh-CN"/>
              </w:rPr>
              <w:t>无</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20</w:t>
            </w:r>
          </w:p>
        </w:tc>
        <w:tc>
          <w:tcPr>
            <w:tcW w:w="4311" w:type="dxa"/>
            <w:tcBorders>
              <w:tl2br w:val="nil"/>
              <w:tr2bl w:val="nil"/>
            </w:tcBorders>
            <w:shd w:val="clear" w:color="auto" w:fill="auto"/>
            <w:vAlign w:val="center"/>
          </w:tcPr>
          <w:p>
            <w:pPr>
              <w:jc w:val="center"/>
              <w:rPr>
                <w:rFonts w:hint="eastAsia" w:ascii="Times New Roman" w:hAnsi="Times New Roman" w:cs="Times New Roman"/>
                <w:sz w:val="21"/>
                <w:szCs w:val="21"/>
                <w:highlight w:val="none"/>
                <w:lang w:eastAsia="zh-CN"/>
              </w:rPr>
            </w:pPr>
            <w:r>
              <w:rPr>
                <w:rFonts w:hint="eastAsia" w:ascii="Times New Roman" w:hAnsi="Times New Roman" w:cs="Times New Roman"/>
                <w:sz w:val="21"/>
                <w:szCs w:val="21"/>
                <w:highlight w:val="none"/>
                <w:lang w:eastAsia="zh-CN"/>
              </w:rPr>
              <w:t>兴建泵站</w:t>
            </w:r>
          </w:p>
        </w:tc>
        <w:tc>
          <w:tcPr>
            <w:tcW w:w="2481"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管网末梢水</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color w:val="auto"/>
                <w:sz w:val="21"/>
                <w:szCs w:val="21"/>
                <w:highlight w:val="none"/>
                <w:lang w:eastAsia="zh-CN"/>
              </w:rPr>
            </w:pPr>
            <w:r>
              <w:rPr>
                <w:rFonts w:hint="eastAsia" w:ascii="Times New Roman" w:hAnsi="Times New Roman" w:eastAsia="宋体" w:cs="Times New Roman"/>
                <w:b w:val="0"/>
                <w:bCs w:val="0"/>
                <w:color w:val="auto"/>
                <w:sz w:val="21"/>
                <w:szCs w:val="21"/>
                <w:highlight w:val="none"/>
                <w:lang w:val="en-US" w:eastAsia="zh-CN"/>
              </w:rPr>
              <w:t>无</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1"/>
        <w:rPr>
          <w:rFonts w:hint="default" w:ascii="Times New Roman" w:hAnsi="Times New Roman" w:eastAsia="宋体" w:cs="Times New Roman"/>
          <w:b/>
          <w:bCs/>
          <w:kern w:val="0"/>
          <w:sz w:val="28"/>
          <w:szCs w:val="28"/>
          <w:highlight w:val="none"/>
          <w:lang w:val="en-US" w:eastAsia="zh-CN"/>
        </w:rPr>
      </w:pPr>
      <w:r>
        <w:rPr>
          <w:rFonts w:hint="eastAsia" w:ascii="Times New Roman" w:hAnsi="Times New Roman" w:eastAsia="宋体" w:cs="Times New Roman"/>
          <w:b/>
          <w:bCs/>
          <w:kern w:val="0"/>
          <w:sz w:val="28"/>
          <w:szCs w:val="28"/>
          <w:highlight w:val="none"/>
          <w:lang w:val="en-US" w:eastAsia="zh-CN"/>
        </w:rPr>
        <w:t>2、检测项目合格情况</w:t>
      </w:r>
    </w:p>
    <w:tbl>
      <w:tblPr>
        <w:tblStyle w:val="15"/>
        <w:tblW w:w="4979" w:type="pct"/>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9"/>
        <w:gridCol w:w="2264"/>
        <w:gridCol w:w="2264"/>
        <w:gridCol w:w="2264"/>
        <w:gridCol w:w="2480"/>
      </w:tblGrid>
      <w:tr>
        <w:tblPrEx>
          <w:tblCellMar>
            <w:top w:w="0" w:type="dxa"/>
            <w:left w:w="108" w:type="dxa"/>
            <w:bottom w:w="0" w:type="dxa"/>
            <w:right w:w="108" w:type="dxa"/>
          </w:tblCellMar>
        </w:tblPrEx>
        <w:trPr>
          <w:trHeight w:val="567" w:hRule="atLeast"/>
          <w:tblHeader/>
        </w:trPr>
        <w:tc>
          <w:tcPr>
            <w:tcW w:w="649" w:type="dxa"/>
            <w:tcBorders>
              <w:tl2br w:val="nil"/>
              <w:tr2bl w:val="nil"/>
            </w:tcBorders>
            <w:shd w:val="clear" w:color="auto" w:fill="auto"/>
            <w:vAlign w:val="center"/>
          </w:tcPr>
          <w:p>
            <w:pPr>
              <w:jc w:val="center"/>
              <w:rPr>
                <w:rFonts w:hint="default" w:ascii="Times New Roman" w:hAnsi="Times New Roman" w:eastAsia="宋体" w:cs="Times New Roman"/>
                <w:b w:val="0"/>
                <w:bCs w:val="0"/>
                <w:color w:val="auto"/>
                <w:sz w:val="21"/>
                <w:szCs w:val="21"/>
                <w:lang w:val="en-US" w:eastAsia="zh-CN" w:bidi="ar-SA"/>
              </w:rPr>
            </w:pPr>
            <w:r>
              <w:rPr>
                <w:rFonts w:hint="default" w:ascii="Times New Roman" w:hAnsi="Times New Roman" w:eastAsia="宋体" w:cs="Times New Roman"/>
                <w:sz w:val="21"/>
                <w:szCs w:val="21"/>
                <w:highlight w:val="none"/>
              </w:rPr>
              <w:t>序号</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检测项目</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点位数</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合格数</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snapToGrid/>
                <w:color w:val="auto"/>
                <w:sz w:val="21"/>
                <w:szCs w:val="21"/>
                <w:highlight w:val="none"/>
                <w:u w:val="none"/>
                <w:lang w:val="en-US" w:eastAsia="zh-CN" w:bidi="ar-SA"/>
              </w:rPr>
            </w:pPr>
            <w:r>
              <w:rPr>
                <w:rFonts w:hint="default" w:ascii="Times New Roman" w:hAnsi="Times New Roman" w:eastAsia="宋体" w:cs="Times New Roman"/>
                <w:b w:val="0"/>
                <w:bCs w:val="0"/>
                <w:i w:val="0"/>
                <w:iCs w:val="0"/>
                <w:color w:val="auto"/>
                <w:kern w:val="0"/>
                <w:sz w:val="21"/>
                <w:szCs w:val="21"/>
                <w:u w:val="none"/>
                <w:lang w:val="en-US" w:eastAsia="zh-CN" w:bidi="ar"/>
              </w:rPr>
              <w:t>合格率</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49" w:type="dxa"/>
            <w:tcBorders>
              <w:tl2br w:val="nil"/>
              <w:tr2bl w:val="nil"/>
            </w:tcBorders>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总大肠菌群</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2</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大肠埃希氏菌</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0" w:type="auto"/>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3</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菌落总数</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4</w:t>
            </w:r>
          </w:p>
        </w:tc>
        <w:tc>
          <w:tcPr>
            <w:tcW w:w="0" w:type="auto"/>
            <w:tcBorders>
              <w:tl2br w:val="nil"/>
              <w:tr2bl w:val="nil"/>
            </w:tcBorders>
            <w:shd w:val="clear" w:color="auto" w:fill="auto"/>
            <w:vAlign w:val="center"/>
          </w:tcPr>
          <w:p>
            <w:pPr>
              <w:adjustRightInd w:val="0"/>
              <w:snapToGrid w:val="0"/>
              <w:spacing w:line="256"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砷</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5</w:t>
            </w:r>
          </w:p>
        </w:tc>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vertAlign w:val="baseline"/>
                <w:lang w:val="en-US" w:eastAsia="zh-CN"/>
              </w:rPr>
              <w:t>镉</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6</w:t>
            </w:r>
          </w:p>
        </w:tc>
        <w:tc>
          <w:tcPr>
            <w:tcW w:w="0" w:type="auto"/>
            <w:tcBorders>
              <w:tl2br w:val="nil"/>
              <w:tr2bl w:val="nil"/>
            </w:tcBorders>
            <w:shd w:val="clear" w:color="auto" w:fill="auto"/>
            <w:vAlign w:val="center"/>
          </w:tcPr>
          <w:p>
            <w:pPr>
              <w:adjustRightInd w:val="0"/>
              <w:snapToGrid w:val="0"/>
              <w:spacing w:line="256"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铬（六价）</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7</w:t>
            </w:r>
          </w:p>
        </w:tc>
        <w:tc>
          <w:tcPr>
            <w:tcW w:w="0" w:type="auto"/>
            <w:tcBorders>
              <w:tl2br w:val="nil"/>
              <w:tr2bl w:val="nil"/>
            </w:tcBorders>
            <w:shd w:val="clear" w:color="auto" w:fill="auto"/>
            <w:vAlign w:val="center"/>
          </w:tcPr>
          <w:p>
            <w:pPr>
              <w:adjustRightInd w:val="0"/>
              <w:snapToGrid w:val="0"/>
              <w:spacing w:line="256"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铅</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8</w:t>
            </w:r>
          </w:p>
        </w:tc>
        <w:tc>
          <w:tcPr>
            <w:tcW w:w="0" w:type="auto"/>
            <w:tcBorders>
              <w:tl2br w:val="nil"/>
              <w:tr2bl w:val="nil"/>
            </w:tcBorders>
            <w:shd w:val="clear" w:color="auto" w:fill="auto"/>
            <w:vAlign w:val="center"/>
          </w:tcPr>
          <w:p>
            <w:pPr>
              <w:adjustRightInd w:val="0"/>
              <w:snapToGrid w:val="0"/>
              <w:spacing w:line="256"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汞</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9</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氰化物</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10</w:t>
            </w:r>
          </w:p>
        </w:tc>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highlight w:val="none"/>
                <w:vertAlign w:val="baseline"/>
                <w:lang w:val="en-US" w:eastAsia="zh-CN"/>
              </w:rPr>
              <w:t>氟化物</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11</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硝酸盐</w:t>
            </w:r>
          </w:p>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（以</w:t>
            </w:r>
            <w:r>
              <w:rPr>
                <w:rFonts w:hint="default" w:ascii="Times New Roman" w:hAnsi="Times New Roman" w:eastAsia="宋体" w:cs="Times New Roman"/>
                <w:color w:val="auto"/>
                <w:sz w:val="21"/>
                <w:szCs w:val="21"/>
                <w:highlight w:val="none"/>
                <w:lang w:val="en-US" w:eastAsia="zh-CN"/>
              </w:rPr>
              <w:t>N计</w:t>
            </w:r>
            <w:r>
              <w:rPr>
                <w:rFonts w:hint="default" w:ascii="Times New Roman" w:hAnsi="Times New Roman" w:eastAsia="宋体" w:cs="Times New Roman"/>
                <w:color w:val="auto"/>
                <w:sz w:val="21"/>
                <w:szCs w:val="21"/>
                <w:highlight w:val="none"/>
                <w:lang w:eastAsia="zh-CN"/>
              </w:rPr>
              <w:t>）</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12</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三氯甲烷</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13</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一氯二溴甲烷</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14</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二氯一溴甲烷</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15</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三溴甲烷</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16</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snapToGrid w:val="0"/>
                <w:kern w:val="0"/>
                <w:sz w:val="21"/>
                <w:szCs w:val="21"/>
                <w:highlight w:val="none"/>
                <w:lang w:val="en-US" w:eastAsia="zh-CN" w:bidi="ar-SA"/>
              </w:rPr>
              <w:t>三卤甲烷</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17</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二氯乙酸</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18</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三氯乙酸</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19</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溴酸盐</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20</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亚氯酸盐</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21</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氯酸盐</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22</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色度</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23</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浑浊度</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24</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臭和味</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25</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肉眼可见物</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26</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pH</w:t>
            </w:r>
            <w:r>
              <w:rPr>
                <w:rFonts w:hint="default" w:ascii="Times New Roman" w:hAnsi="Times New Roman" w:eastAsia="宋体" w:cs="Times New Roman"/>
                <w:color w:val="auto"/>
                <w:sz w:val="21"/>
                <w:szCs w:val="21"/>
                <w:highlight w:val="none"/>
                <w:lang w:val="en-US" w:eastAsia="zh-CN"/>
              </w:rPr>
              <w:t>值</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27</w:t>
            </w:r>
          </w:p>
        </w:tc>
        <w:tc>
          <w:tcPr>
            <w:tcW w:w="0" w:type="auto"/>
            <w:tcBorders>
              <w:tl2br w:val="nil"/>
              <w:tr2bl w:val="nil"/>
            </w:tcBorders>
            <w:shd w:val="clear" w:color="auto" w:fill="auto"/>
            <w:vAlign w:val="center"/>
          </w:tcPr>
          <w:p>
            <w:pPr>
              <w:adjustRightInd w:val="0"/>
              <w:snapToGrid w:val="0"/>
              <w:spacing w:line="256" w:lineRule="exact"/>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rPr>
              <w:t>铝</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28</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铁</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29</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锰</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30</w:t>
            </w:r>
          </w:p>
        </w:tc>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highlight w:val="none"/>
                <w:vertAlign w:val="baseline"/>
                <w:lang w:val="en-US" w:eastAsia="zh-CN"/>
              </w:rPr>
              <w:t>铜</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31</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rPr>
              <w:t>锌</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32</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氯化物</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33</w:t>
            </w:r>
          </w:p>
        </w:tc>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sz w:val="21"/>
                <w:szCs w:val="21"/>
                <w:highlight w:val="none"/>
                <w:vertAlign w:val="baseline"/>
                <w:lang w:val="en-US" w:eastAsia="zh-CN"/>
              </w:rPr>
              <w:t>硫酸盐</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34</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rPr>
              <w:t>溶解性总固体</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35</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总硬度</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36</w:t>
            </w:r>
          </w:p>
        </w:tc>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高锰酸盐指数（以O</w:t>
            </w:r>
            <w:r>
              <w:rPr>
                <w:rFonts w:hint="default" w:ascii="Times New Roman" w:hAnsi="Times New Roman" w:eastAsia="宋体" w:cs="Times New Roman"/>
                <w:bCs/>
                <w:color w:val="auto"/>
                <w:sz w:val="21"/>
                <w:szCs w:val="21"/>
                <w:highlight w:val="none"/>
                <w:vertAlign w:val="subscript"/>
              </w:rPr>
              <w:t>2</w:t>
            </w:r>
            <w:r>
              <w:rPr>
                <w:rFonts w:hint="default" w:ascii="Times New Roman" w:hAnsi="Times New Roman" w:eastAsia="宋体" w:cs="Times New Roman"/>
                <w:bCs/>
                <w:color w:val="auto"/>
                <w:sz w:val="21"/>
                <w:szCs w:val="21"/>
                <w:highlight w:val="none"/>
              </w:rPr>
              <w:t>计）</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37</w:t>
            </w:r>
          </w:p>
        </w:tc>
        <w:tc>
          <w:tcPr>
            <w:tcW w:w="0" w:type="auto"/>
            <w:tcBorders>
              <w:tl2br w:val="nil"/>
              <w:tr2bl w:val="nil"/>
            </w:tcBorders>
            <w:shd w:val="clear" w:color="auto" w:fill="auto"/>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氨（以N计）</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38</w:t>
            </w:r>
          </w:p>
        </w:tc>
        <w:tc>
          <w:tcPr>
            <w:tcW w:w="0" w:type="auto"/>
            <w:tcBorders>
              <w:tl2br w:val="nil"/>
              <w:tr2bl w:val="nil"/>
            </w:tcBorders>
            <w:shd w:val="clear" w:color="auto" w:fill="auto"/>
            <w:vAlign w:val="center"/>
          </w:tcPr>
          <w:p>
            <w:pPr>
              <w:autoSpaceDN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总α放射性</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39</w:t>
            </w:r>
          </w:p>
        </w:tc>
        <w:tc>
          <w:tcPr>
            <w:tcW w:w="0" w:type="auto"/>
            <w:tcBorders>
              <w:tl2br w:val="nil"/>
              <w:tr2bl w:val="nil"/>
            </w:tcBorders>
            <w:shd w:val="clear" w:color="auto" w:fill="auto"/>
            <w:vAlign w:val="center"/>
          </w:tcPr>
          <w:p>
            <w:pPr>
              <w:autoSpaceDN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总β放射性</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40</w:t>
            </w:r>
          </w:p>
        </w:tc>
        <w:tc>
          <w:tcPr>
            <w:tcW w:w="0" w:type="auto"/>
            <w:tcBorders>
              <w:tl2br w:val="nil"/>
              <w:tr2bl w:val="nil"/>
            </w:tcBorders>
            <w:shd w:val="clear" w:color="auto" w:fill="auto"/>
            <w:vAlign w:val="center"/>
          </w:tcPr>
          <w:p>
            <w:pPr>
              <w:keepNext w:val="0"/>
              <w:keepLines w:val="0"/>
              <w:pageBreakBefore w:val="0"/>
              <w:kinsoku/>
              <w:wordWrap/>
              <w:overflowPunct/>
              <w:topLinePunct w:val="0"/>
              <w:autoSpaceDE/>
              <w:autoSpaceDN w:val="0"/>
              <w:bidi w:val="0"/>
              <w:spacing w:line="240" w:lineRule="auto"/>
              <w:ind w:right="0" w:rightChars="0"/>
              <w:jc w:val="center"/>
              <w:textAlignment w:val="center"/>
              <w:rPr>
                <w:rFonts w:hint="default" w:ascii="Times New Roman" w:hAnsi="Times New Roman" w:eastAsia="宋体" w:cs="Times New Roman"/>
                <w:b w:val="0"/>
                <w:i w:val="0"/>
                <w:snapToGrid/>
                <w:color w:val="auto"/>
                <w:kern w:val="2"/>
                <w:sz w:val="21"/>
                <w:szCs w:val="21"/>
                <w:highlight w:val="none"/>
                <w:u w:val="none"/>
                <w:lang w:val="en-US" w:eastAsia="zh-CN" w:bidi="ar-SA"/>
              </w:rPr>
            </w:pPr>
            <w:r>
              <w:rPr>
                <w:rFonts w:hint="default" w:ascii="Times New Roman" w:hAnsi="Times New Roman" w:eastAsia="宋体" w:cs="Times New Roman"/>
                <w:b w:val="0"/>
                <w:i w:val="0"/>
                <w:snapToGrid/>
                <w:color w:val="auto"/>
                <w:sz w:val="21"/>
                <w:szCs w:val="21"/>
                <w:highlight w:val="none"/>
                <w:u w:val="none"/>
                <w:lang w:val="en-US" w:eastAsia="zh-CN"/>
              </w:rPr>
              <w:t>游离氯</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41</w:t>
            </w:r>
          </w:p>
        </w:tc>
        <w:tc>
          <w:tcPr>
            <w:tcW w:w="0" w:type="auto"/>
            <w:tcBorders>
              <w:tl2br w:val="nil"/>
              <w:tr2bl w:val="nil"/>
            </w:tcBorders>
            <w:shd w:val="clear" w:color="auto" w:fill="auto"/>
            <w:vAlign w:val="center"/>
          </w:tcPr>
          <w:p>
            <w:pPr>
              <w:keepNext w:val="0"/>
              <w:keepLines w:val="0"/>
              <w:pageBreakBefore w:val="0"/>
              <w:kinsoku/>
              <w:wordWrap/>
              <w:overflowPunct/>
              <w:topLinePunct w:val="0"/>
              <w:autoSpaceDE/>
              <w:autoSpaceDN w:val="0"/>
              <w:bidi w:val="0"/>
              <w:spacing w:line="240" w:lineRule="auto"/>
              <w:ind w:right="0" w:rightChars="0"/>
              <w:jc w:val="center"/>
              <w:textAlignment w:val="center"/>
              <w:rPr>
                <w:rFonts w:hint="default" w:ascii="Times New Roman" w:hAnsi="Times New Roman" w:eastAsia="宋体" w:cs="Times New Roman"/>
                <w:b w:val="0"/>
                <w:i w:val="0"/>
                <w:snapToGrid/>
                <w:color w:val="auto"/>
                <w:kern w:val="2"/>
                <w:sz w:val="21"/>
                <w:szCs w:val="21"/>
                <w:highlight w:val="none"/>
                <w:u w:val="none"/>
                <w:lang w:val="en-US" w:eastAsia="zh-CN" w:bidi="ar-SA"/>
              </w:rPr>
            </w:pPr>
            <w:r>
              <w:rPr>
                <w:rFonts w:hint="default" w:ascii="Times New Roman" w:hAnsi="Times New Roman" w:eastAsia="宋体" w:cs="Times New Roman"/>
                <w:b w:val="0"/>
                <w:i w:val="0"/>
                <w:snapToGrid/>
                <w:color w:val="auto"/>
                <w:sz w:val="21"/>
                <w:szCs w:val="21"/>
                <w:highlight w:val="none"/>
                <w:u w:val="none"/>
                <w:lang w:val="en-US" w:eastAsia="zh-CN"/>
              </w:rPr>
              <w:t>总氯</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42</w:t>
            </w:r>
          </w:p>
        </w:tc>
        <w:tc>
          <w:tcPr>
            <w:tcW w:w="0" w:type="auto"/>
            <w:tcBorders>
              <w:tl2br w:val="nil"/>
              <w:tr2bl w:val="nil"/>
            </w:tcBorders>
            <w:shd w:val="clear" w:color="auto" w:fill="auto"/>
            <w:vAlign w:val="center"/>
          </w:tcPr>
          <w:p>
            <w:pPr>
              <w:keepNext w:val="0"/>
              <w:keepLines w:val="0"/>
              <w:pageBreakBefore w:val="0"/>
              <w:kinsoku/>
              <w:wordWrap/>
              <w:overflowPunct/>
              <w:topLinePunct w:val="0"/>
              <w:autoSpaceDE/>
              <w:autoSpaceDN w:val="0"/>
              <w:bidi w:val="0"/>
              <w:spacing w:line="240" w:lineRule="auto"/>
              <w:ind w:right="0" w:rightChars="0"/>
              <w:jc w:val="center"/>
              <w:textAlignment w:val="center"/>
              <w:rPr>
                <w:rFonts w:hint="default" w:ascii="Times New Roman" w:hAnsi="Times New Roman" w:eastAsia="宋体" w:cs="Times New Roman"/>
                <w:b w:val="0"/>
                <w:i w:val="0"/>
                <w:snapToGrid/>
                <w:color w:val="auto"/>
                <w:kern w:val="2"/>
                <w:sz w:val="21"/>
                <w:szCs w:val="21"/>
                <w:highlight w:val="none"/>
                <w:u w:val="none"/>
                <w:lang w:val="en-US" w:eastAsia="zh-CN" w:bidi="ar-SA"/>
              </w:rPr>
            </w:pPr>
            <w:r>
              <w:rPr>
                <w:rFonts w:hint="default" w:ascii="Times New Roman" w:hAnsi="Times New Roman" w:eastAsia="宋体" w:cs="Times New Roman"/>
                <w:b w:val="0"/>
                <w:i w:val="0"/>
                <w:snapToGrid/>
                <w:color w:val="auto"/>
                <w:sz w:val="21"/>
                <w:szCs w:val="21"/>
                <w:highlight w:val="none"/>
                <w:u w:val="none"/>
                <w:lang w:val="en-US" w:eastAsia="zh-CN"/>
              </w:rPr>
              <w:t>臭氧</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100%</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0" w:type="auto"/>
            <w:tcBorders>
              <w:tl2br w:val="nil"/>
              <w:tr2bl w:val="nil"/>
            </w:tcBorders>
            <w:shd w:val="clear" w:color="auto" w:fill="auto"/>
            <w:vAlign w:val="center"/>
          </w:tcPr>
          <w:p>
            <w:pPr>
              <w:adjustRightInd w:val="0"/>
              <w:snapToGrid w:val="0"/>
              <w:spacing w:line="26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43</w:t>
            </w:r>
          </w:p>
        </w:tc>
        <w:tc>
          <w:tcPr>
            <w:tcW w:w="0" w:type="auto"/>
            <w:tcBorders>
              <w:tl2br w:val="nil"/>
              <w:tr2bl w:val="nil"/>
            </w:tcBorders>
            <w:shd w:val="clear" w:color="auto" w:fill="auto"/>
            <w:vAlign w:val="center"/>
          </w:tcPr>
          <w:p>
            <w:pPr>
              <w:keepNext w:val="0"/>
              <w:keepLines w:val="0"/>
              <w:pageBreakBefore w:val="0"/>
              <w:kinsoku/>
              <w:wordWrap/>
              <w:overflowPunct/>
              <w:topLinePunct w:val="0"/>
              <w:autoSpaceDE/>
              <w:autoSpaceDN w:val="0"/>
              <w:bidi w:val="0"/>
              <w:spacing w:line="240" w:lineRule="auto"/>
              <w:ind w:right="0" w:rightChars="0"/>
              <w:jc w:val="center"/>
              <w:textAlignment w:val="center"/>
              <w:rPr>
                <w:rFonts w:hint="default" w:ascii="Times New Roman" w:hAnsi="Times New Roman" w:eastAsia="宋体" w:cs="Times New Roman"/>
                <w:b w:val="0"/>
                <w:i w:val="0"/>
                <w:snapToGrid/>
                <w:color w:val="auto"/>
                <w:kern w:val="2"/>
                <w:sz w:val="21"/>
                <w:szCs w:val="21"/>
                <w:highlight w:val="none"/>
                <w:u w:val="none"/>
                <w:lang w:val="en-US" w:eastAsia="zh-CN" w:bidi="ar-SA"/>
              </w:rPr>
            </w:pPr>
            <w:r>
              <w:rPr>
                <w:rFonts w:hint="default" w:ascii="Times New Roman" w:hAnsi="Times New Roman" w:eastAsia="宋体" w:cs="Times New Roman"/>
                <w:b w:val="0"/>
                <w:i w:val="0"/>
                <w:snapToGrid/>
                <w:color w:val="auto"/>
                <w:sz w:val="21"/>
                <w:szCs w:val="21"/>
                <w:highlight w:val="none"/>
                <w:u w:val="none"/>
                <w:lang w:val="en-US" w:eastAsia="zh-CN"/>
              </w:rPr>
              <w:t>二氧化氯</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20</w:t>
            </w:r>
          </w:p>
        </w:tc>
        <w:tc>
          <w:tcPr>
            <w:tcW w:w="2264"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20</w:t>
            </w:r>
          </w:p>
        </w:tc>
        <w:tc>
          <w:tcPr>
            <w:tcW w:w="2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bidi w:val="0"/>
              <w:spacing w:line="240" w:lineRule="auto"/>
              <w:ind w:right="0" w:right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100%</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937" w:beforeLines="300" w:line="360" w:lineRule="auto"/>
        <w:jc w:val="left"/>
        <w:textAlignment w:val="auto"/>
        <w:outlineLvl w:val="1"/>
        <w:rPr>
          <w:rFonts w:hint="default" w:ascii="Times New Roman" w:hAnsi="Times New Roman" w:eastAsia="宋体" w:cs="Times New Roman"/>
          <w:b/>
          <w:bCs/>
          <w:kern w:val="0"/>
          <w:sz w:val="28"/>
          <w:szCs w:val="28"/>
          <w:highlight w:val="none"/>
          <w:lang w:val="en-US" w:eastAsia="zh-CN"/>
        </w:rPr>
      </w:pPr>
      <w:r>
        <w:rPr>
          <w:rFonts w:hint="eastAsia" w:ascii="Times New Roman" w:hAnsi="Times New Roman" w:eastAsia="宋体" w:cs="Times New Roman"/>
          <w:b/>
          <w:bCs/>
          <w:kern w:val="0"/>
          <w:sz w:val="28"/>
          <w:szCs w:val="28"/>
          <w:highlight w:val="none"/>
          <w:lang w:val="en-US" w:eastAsia="zh-CN"/>
        </w:rPr>
        <w:t>3、检测结果分析</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highlight w:val="none"/>
          <w:lang w:val="en-US" w:eastAsia="zh-CN"/>
        </w:rPr>
        <w:t>根据</w:t>
      </w:r>
      <w:r>
        <w:rPr>
          <w:rFonts w:hint="eastAsia" w:ascii="Times New Roman" w:hAnsi="Times New Roman" w:eastAsia="宋体" w:cs="Times New Roman"/>
          <w:sz w:val="24"/>
          <w:szCs w:val="24"/>
          <w:highlight w:val="none"/>
          <w:lang w:val="en-US" w:eastAsia="zh-CN"/>
        </w:rPr>
        <w:t>以上</w:t>
      </w:r>
      <w:r>
        <w:rPr>
          <w:rFonts w:hint="default" w:ascii="Times New Roman" w:hAnsi="Times New Roman" w:eastAsia="宋体" w:cs="Times New Roman"/>
          <w:sz w:val="24"/>
          <w:szCs w:val="24"/>
          <w:highlight w:val="none"/>
          <w:lang w:val="en-US" w:eastAsia="zh-CN"/>
        </w:rPr>
        <w:t>检测结果，本次</w:t>
      </w:r>
      <w:r>
        <w:rPr>
          <w:rFonts w:hint="default" w:ascii="Times New Roman" w:hAnsi="Times New Roman" w:eastAsia="宋体" w:cs="Times New Roman"/>
          <w:color w:val="000000"/>
          <w:sz w:val="24"/>
          <w:szCs w:val="24"/>
          <w:highlight w:val="none"/>
          <w:lang w:eastAsia="zh-CN" w:bidi="ar"/>
        </w:rPr>
        <w:t>沈阳市水务局2024年城市公共供水水质抽样检测项目</w:t>
      </w:r>
      <w:r>
        <w:rPr>
          <w:rFonts w:hint="default" w:ascii="Times New Roman" w:hAnsi="Times New Roman" w:eastAsia="宋体" w:cs="Times New Roman"/>
          <w:color w:val="000000"/>
          <w:sz w:val="24"/>
          <w:szCs w:val="24"/>
          <w:highlight w:val="none"/>
          <w:lang w:val="en-US" w:eastAsia="zh-CN" w:bidi="ar"/>
        </w:rPr>
        <w:t>第一季度随机抽取的20处城市供水管网末梢水43项指标检测中：</w:t>
      </w:r>
      <w:r>
        <w:rPr>
          <w:rFonts w:hint="default" w:ascii="Times New Roman" w:hAnsi="Times New Roman" w:eastAsia="宋体" w:cs="Times New Roman"/>
          <w:b w:val="0"/>
          <w:bCs w:val="0"/>
          <w:color w:val="auto"/>
          <w:sz w:val="24"/>
          <w:szCs w:val="24"/>
          <w:highlight w:val="none"/>
          <w:vertAlign w:val="baseline"/>
          <w:lang w:val="en-US" w:eastAsia="zh-CN"/>
        </w:rPr>
        <w:t>所有检测项目均符合《生活饮用水卫生标准》（GB5749-2022）标准要求，检测结果达标，达标率100%。</w:t>
      </w:r>
    </w:p>
    <w:p>
      <w:pPr>
        <w:pStyle w:val="9"/>
        <w:keepNext w:val="0"/>
        <w:keepLines w:val="0"/>
        <w:pageBreakBefore w:val="0"/>
        <w:widowControl w:val="0"/>
        <w:numPr>
          <w:ilvl w:val="0"/>
          <w:numId w:val="1"/>
        </w:numPr>
        <w:kinsoku/>
        <w:wordWrap/>
        <w:overflowPunct/>
        <w:topLinePunct w:val="0"/>
        <w:bidi w:val="0"/>
        <w:snapToGrid/>
        <w:spacing w:line="360" w:lineRule="auto"/>
        <w:ind w:left="0" w:leftChars="0" w:firstLine="0" w:firstLineChars="0"/>
        <w:jc w:val="both"/>
        <w:textAlignment w:val="auto"/>
        <w:outlineLvl w:val="0"/>
        <w:rPr>
          <w:rFonts w:hint="eastAsia" w:ascii="Times New Roman" w:eastAsia="宋体" w:cs="Times New Roman"/>
          <w:b/>
          <w:bCs/>
          <w:color w:val="auto"/>
          <w:sz w:val="30"/>
          <w:szCs w:val="30"/>
          <w:highlight w:val="none"/>
          <w:lang w:val="en-US" w:eastAsia="zh-CN"/>
        </w:rPr>
      </w:pPr>
      <w:r>
        <w:rPr>
          <w:rFonts w:hint="eastAsia" w:ascii="Times New Roman" w:eastAsia="宋体" w:cs="Times New Roman"/>
          <w:b/>
          <w:bCs/>
          <w:color w:val="auto"/>
          <w:sz w:val="30"/>
          <w:szCs w:val="30"/>
          <w:highlight w:val="none"/>
          <w:lang w:val="en-US" w:eastAsia="zh-CN"/>
        </w:rPr>
        <w:t>建议</w:t>
      </w:r>
    </w:p>
    <w:p>
      <w:pPr>
        <w:numPr>
          <w:ilvl w:val="0"/>
          <w:numId w:val="2"/>
        </w:numPr>
        <w:spacing w:line="360" w:lineRule="auto"/>
        <w:ind w:firstLine="480" w:firstLineChars="200"/>
        <w:rPr>
          <w:rFonts w:hint="eastAsia" w:ascii="Times New Roman" w:hAnsi="Times New Roman" w:eastAsia="宋体" w:cs="Times New Roman"/>
          <w:color w:val="000000"/>
          <w:sz w:val="24"/>
          <w:szCs w:val="24"/>
          <w:highlight w:val="none"/>
          <w:lang w:val="en-US" w:eastAsia="zh-CN" w:bidi="ar"/>
        </w:rPr>
      </w:pPr>
      <w:r>
        <w:rPr>
          <w:rFonts w:hint="eastAsia" w:ascii="Times New Roman" w:hAnsi="Times New Roman" w:eastAsia="宋体" w:cs="Times New Roman"/>
          <w:color w:val="000000"/>
          <w:sz w:val="24"/>
          <w:szCs w:val="24"/>
          <w:highlight w:val="none"/>
          <w:lang w:val="en-US" w:eastAsia="zh-CN" w:bidi="ar"/>
        </w:rPr>
        <w:t>继续加强水源地保护工作，加强农业面源和生活污染治理。</w:t>
      </w:r>
    </w:p>
    <w:p>
      <w:pPr>
        <w:numPr>
          <w:ilvl w:val="0"/>
          <w:numId w:val="2"/>
        </w:numPr>
        <w:spacing w:line="360" w:lineRule="auto"/>
        <w:ind w:firstLine="480" w:firstLineChars="200"/>
        <w:rPr>
          <w:rFonts w:hint="eastAsia" w:ascii="Times New Roman" w:hAnsi="Times New Roman" w:eastAsia="宋体" w:cs="Times New Roman"/>
          <w:color w:val="000000"/>
          <w:sz w:val="24"/>
          <w:szCs w:val="24"/>
          <w:highlight w:val="none"/>
          <w:lang w:val="en-US" w:eastAsia="zh-CN" w:bidi="ar"/>
        </w:rPr>
      </w:pPr>
      <w:r>
        <w:rPr>
          <w:rFonts w:hint="eastAsia" w:ascii="Times New Roman" w:hAnsi="Times New Roman" w:eastAsia="宋体" w:cs="Times New Roman"/>
          <w:color w:val="000000"/>
          <w:sz w:val="24"/>
          <w:szCs w:val="24"/>
          <w:highlight w:val="none"/>
          <w:lang w:val="en-US" w:eastAsia="zh-CN" w:bidi="ar"/>
        </w:rPr>
        <w:t>继续加强对供水单位的监管，指导供水单位强化制度建设，加强人员业务培训。</w:t>
      </w:r>
    </w:p>
    <w:p>
      <w:pPr>
        <w:numPr>
          <w:ilvl w:val="0"/>
          <w:numId w:val="2"/>
        </w:numPr>
        <w:spacing w:line="360" w:lineRule="auto"/>
        <w:ind w:left="0" w:leftChars="0" w:firstLine="480" w:firstLineChars="200"/>
        <w:rPr>
          <w:rFonts w:hint="eastAsia" w:ascii="Times New Roman" w:hAnsi="Times New Roman" w:eastAsia="宋体" w:cs="Times New Roman"/>
          <w:color w:val="000000"/>
          <w:sz w:val="24"/>
          <w:szCs w:val="24"/>
          <w:highlight w:val="none"/>
          <w:lang w:val="en-US" w:eastAsia="zh-CN" w:bidi="ar"/>
        </w:rPr>
      </w:pPr>
      <w:r>
        <w:rPr>
          <w:rFonts w:hint="eastAsia" w:ascii="Times New Roman" w:hAnsi="Times New Roman" w:eastAsia="宋体" w:cs="Times New Roman"/>
          <w:color w:val="000000"/>
          <w:sz w:val="24"/>
          <w:szCs w:val="24"/>
          <w:highlight w:val="none"/>
          <w:lang w:val="en-US" w:eastAsia="zh-CN" w:bidi="ar"/>
        </w:rPr>
        <w:t>继续加大水质监督和检测力度，定期检测或视情随机检测。</w:t>
      </w:r>
    </w:p>
    <w:p>
      <w:pPr>
        <w:numPr>
          <w:ilvl w:val="0"/>
          <w:numId w:val="2"/>
        </w:numPr>
        <w:spacing w:line="360" w:lineRule="auto"/>
        <w:ind w:left="0" w:leftChars="0" w:firstLine="480" w:firstLineChars="200"/>
        <w:rPr>
          <w:rFonts w:hint="eastAsia" w:ascii="Times New Roman" w:hAnsi="Times New Roman" w:eastAsia="宋体" w:cs="Times New Roman"/>
          <w:color w:val="000000"/>
          <w:sz w:val="24"/>
          <w:szCs w:val="24"/>
          <w:highlight w:val="none"/>
          <w:lang w:val="en-US" w:eastAsia="zh-CN" w:bidi="ar"/>
        </w:rPr>
      </w:pPr>
      <w:r>
        <w:rPr>
          <w:rFonts w:hint="eastAsia" w:ascii="Times New Roman" w:hAnsi="Times New Roman" w:eastAsia="宋体" w:cs="Times New Roman"/>
          <w:color w:val="000000"/>
          <w:sz w:val="24"/>
          <w:szCs w:val="24"/>
          <w:highlight w:val="none"/>
          <w:lang w:val="en-US" w:eastAsia="zh-CN" w:bidi="ar"/>
        </w:rPr>
        <w:t>继续加大老旧水管网的改造更换力度，确保不因管网原因影响水质。</w:t>
      </w:r>
    </w:p>
    <w:p>
      <w:pPr>
        <w:spacing w:line="360" w:lineRule="auto"/>
        <w:ind w:firstLine="480" w:firstLineChars="200"/>
        <w:rPr>
          <w:rFonts w:hint="default" w:ascii="Times New Roman" w:hAnsi="Times New Roman" w:eastAsia="宋体" w:cs="Times New Roman"/>
          <w:color w:val="000000"/>
          <w:sz w:val="24"/>
          <w:szCs w:val="24"/>
          <w:highlight w:val="none"/>
          <w:lang w:val="en-US" w:eastAsia="zh-CN" w:bidi="ar"/>
        </w:rPr>
      </w:pPr>
    </w:p>
    <w:p>
      <w:pPr>
        <w:pStyle w:val="8"/>
        <w:rPr>
          <w:rFonts w:hint="default" w:ascii="Times New Roman" w:hAnsi="Times New Roman" w:eastAsia="宋体" w:cs="Times New Roman"/>
          <w:b/>
          <w:bCs/>
          <w:color w:val="auto"/>
          <w:sz w:val="30"/>
          <w:szCs w:val="30"/>
          <w:highlight w:val="none"/>
          <w:lang w:val="en-US" w:eastAsia="zh-CN"/>
        </w:rPr>
      </w:pPr>
    </w:p>
    <w:p>
      <w:pPr>
        <w:pStyle w:val="9"/>
        <w:rPr>
          <w:rFonts w:hint="default" w:ascii="Times New Roman" w:hAnsi="Times New Roman" w:eastAsia="宋体" w:cs="Times New Roman"/>
          <w:b/>
          <w:bCs/>
          <w:color w:val="auto"/>
          <w:sz w:val="30"/>
          <w:szCs w:val="30"/>
          <w:highlight w:val="none"/>
          <w:lang w:val="en-US" w:eastAsia="zh-CN"/>
        </w:rPr>
      </w:pPr>
    </w:p>
    <w:p>
      <w:pPr>
        <w:rPr>
          <w:rFonts w:hint="default" w:ascii="Times New Roman" w:hAnsi="Times New Roman" w:eastAsia="宋体" w:cs="Times New Roman"/>
          <w:b/>
          <w:bCs/>
          <w:color w:val="auto"/>
          <w:sz w:val="30"/>
          <w:szCs w:val="30"/>
          <w:highlight w:val="none"/>
          <w:lang w:val="en-US" w:eastAsia="zh-CN"/>
        </w:rPr>
      </w:pPr>
    </w:p>
    <w:p>
      <w:pPr>
        <w:pStyle w:val="8"/>
        <w:rPr>
          <w:rFonts w:hint="default" w:ascii="Times New Roman" w:hAnsi="Times New Roman" w:eastAsia="宋体" w:cs="Times New Roman"/>
          <w:b/>
          <w:bCs/>
          <w:color w:val="auto"/>
          <w:sz w:val="30"/>
          <w:szCs w:val="30"/>
          <w:highlight w:val="none"/>
          <w:lang w:val="en-US" w:eastAsia="zh-CN"/>
        </w:rPr>
      </w:pPr>
    </w:p>
    <w:p>
      <w:pPr>
        <w:pStyle w:val="9"/>
        <w:rPr>
          <w:rFonts w:hint="default" w:ascii="Times New Roman" w:hAnsi="Times New Roman" w:eastAsia="宋体" w:cs="Times New Roman"/>
          <w:b/>
          <w:bCs/>
          <w:color w:val="auto"/>
          <w:sz w:val="30"/>
          <w:szCs w:val="30"/>
          <w:highlight w:val="none"/>
          <w:lang w:val="en-US" w:eastAsia="zh-CN"/>
        </w:rPr>
      </w:pPr>
    </w:p>
    <w:p>
      <w:pPr>
        <w:rPr>
          <w:rFonts w:hint="default" w:ascii="Times New Roman" w:hAnsi="Times New Roman" w:eastAsia="宋体" w:cs="Times New Roman"/>
          <w:b/>
          <w:bCs/>
          <w:color w:val="auto"/>
          <w:sz w:val="30"/>
          <w:szCs w:val="30"/>
          <w:highlight w:val="none"/>
          <w:lang w:val="en-US" w:eastAsia="zh-CN"/>
        </w:rPr>
      </w:pPr>
    </w:p>
    <w:p>
      <w:pPr>
        <w:pStyle w:val="8"/>
        <w:rPr>
          <w:rFonts w:hint="default" w:ascii="Times New Roman" w:hAnsi="Times New Roman" w:eastAsia="宋体" w:cs="Times New Roman"/>
          <w:b/>
          <w:bCs/>
          <w:color w:val="auto"/>
          <w:sz w:val="30"/>
          <w:szCs w:val="30"/>
          <w:highlight w:val="none"/>
          <w:lang w:val="en-US" w:eastAsia="zh-CN"/>
        </w:rPr>
      </w:pPr>
    </w:p>
    <w:p>
      <w:pPr>
        <w:pStyle w:val="9"/>
        <w:ind w:left="0" w:leftChars="0" w:firstLine="0" w:firstLineChars="0"/>
        <w:jc w:val="both"/>
        <w:rPr>
          <w:rFonts w:hint="default"/>
          <w:color w:val="auto"/>
          <w:highlight w:val="none"/>
        </w:rPr>
      </w:pPr>
    </w:p>
    <w:p>
      <w:pPr>
        <w:rPr>
          <w:rFonts w:hint="default"/>
          <w:color w:val="auto"/>
          <w:highlight w:val="none"/>
        </w:rPr>
      </w:pPr>
    </w:p>
    <w:p>
      <w:pPr>
        <w:pStyle w:val="2"/>
        <w:rPr>
          <w:rFonts w:hint="default"/>
          <w:color w:val="auto"/>
          <w:highlight w:val="none"/>
        </w:rPr>
      </w:pPr>
    </w:p>
    <w:p>
      <w:pPr>
        <w:pStyle w:val="2"/>
        <w:rPr>
          <w:rFonts w:hint="default"/>
          <w:color w:val="auto"/>
          <w:highlight w:val="none"/>
        </w:rPr>
      </w:pPr>
    </w:p>
    <w:p>
      <w:pPr>
        <w:pStyle w:val="8"/>
        <w:spacing w:line="240" w:lineRule="auto"/>
        <w:ind w:left="0" w:leftChars="0" w:firstLine="482" w:firstLineChars="200"/>
        <w:jc w:val="both"/>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 xml:space="preserve">编写人：                 审核人：         </w:t>
      </w:r>
      <w:r>
        <w:rPr>
          <w:rFonts w:hint="default" w:ascii="Times New Roman" w:hAnsi="Times New Roman" w:cs="Times New Roman"/>
          <w:b/>
          <w:color w:val="auto"/>
          <w:sz w:val="24"/>
          <w:szCs w:val="24"/>
          <w:highlight w:val="none"/>
          <w:lang w:val="en-US" w:eastAsia="zh-CN"/>
        </w:rPr>
        <w:t xml:space="preserve"> </w:t>
      </w:r>
      <w:r>
        <w:rPr>
          <w:rFonts w:hint="eastAsia" w:ascii="Times New Roman" w:hAnsi="Times New Roman" w:cs="Times New Roman"/>
          <w:b/>
          <w:color w:val="auto"/>
          <w:sz w:val="24"/>
          <w:szCs w:val="24"/>
          <w:highlight w:val="none"/>
          <w:lang w:val="en-US" w:eastAsia="zh-CN"/>
        </w:rPr>
        <w:t xml:space="preserve">    </w:t>
      </w:r>
      <w:r>
        <w:rPr>
          <w:rFonts w:hint="default" w:ascii="Times New Roman" w:hAnsi="Times New Roman" w:cs="Times New Roman"/>
          <w:b/>
          <w:color w:val="auto"/>
          <w:sz w:val="24"/>
          <w:szCs w:val="24"/>
          <w:highlight w:val="none"/>
        </w:rPr>
        <w:t xml:space="preserve"> </w:t>
      </w:r>
      <w:r>
        <w:rPr>
          <w:rFonts w:hint="eastAsia" w:ascii="Times New Roman" w:hAnsi="Times New Roman" w:cs="Times New Roman"/>
          <w:b/>
          <w:color w:val="auto"/>
          <w:sz w:val="24"/>
          <w:szCs w:val="24"/>
          <w:highlight w:val="none"/>
          <w:lang w:eastAsia="zh-CN"/>
        </w:rPr>
        <w:t>签发</w:t>
      </w:r>
      <w:r>
        <w:rPr>
          <w:rFonts w:hint="default" w:ascii="Times New Roman" w:hAnsi="Times New Roman" w:cs="Times New Roman"/>
          <w:b/>
          <w:color w:val="auto"/>
          <w:sz w:val="24"/>
          <w:szCs w:val="24"/>
          <w:highlight w:val="none"/>
        </w:rPr>
        <w:t>人：</w:t>
      </w:r>
    </w:p>
    <w:p>
      <w:pPr>
        <w:spacing w:before="156" w:beforeLines="50"/>
        <w:ind w:firstLine="6026" w:firstLineChars="2501"/>
        <w:jc w:val="left"/>
        <w:rPr>
          <w:rFonts w:hint="default" w:ascii="Times New Roman" w:hAnsi="Times New Roman" w:eastAsia="宋体" w:cs="Times New Roman"/>
          <w:color w:val="auto"/>
          <w:sz w:val="24"/>
          <w:szCs w:val="24"/>
          <w:highlight w:val="none"/>
        </w:rPr>
      </w:pPr>
      <w:r>
        <w:rPr>
          <w:rFonts w:hint="default" w:ascii="Times New Roman" w:hAnsi="Times New Roman" w:cs="Times New Roman"/>
          <w:b/>
          <w:color w:val="auto"/>
          <w:sz w:val="24"/>
          <w:szCs w:val="24"/>
          <w:highlight w:val="none"/>
          <w:lang w:val="en-US" w:eastAsia="zh-CN"/>
        </w:rPr>
        <w:t xml:space="preserve">  </w:t>
      </w:r>
      <w:r>
        <w:rPr>
          <w:rFonts w:hint="eastAsia" w:ascii="Times New Roman" w:hAnsi="Times New Roman" w:cs="Times New Roman"/>
          <w:b/>
          <w:color w:val="auto"/>
          <w:sz w:val="24"/>
          <w:szCs w:val="24"/>
          <w:highlight w:val="none"/>
          <w:lang w:eastAsia="zh-CN"/>
        </w:rPr>
        <w:t>签发</w:t>
      </w:r>
      <w:r>
        <w:rPr>
          <w:rFonts w:hint="default" w:ascii="Times New Roman" w:hAnsi="Times New Roman" w:cs="Times New Roman"/>
          <w:b/>
          <w:color w:val="auto"/>
          <w:sz w:val="24"/>
          <w:szCs w:val="24"/>
          <w:highlight w:val="none"/>
        </w:rPr>
        <w:t>日期：</w:t>
      </w:r>
      <w:r>
        <w:rPr>
          <w:rFonts w:hint="default" w:ascii="Times New Roman" w:hAnsi="Times New Roman" w:cs="Times New Roman"/>
          <w:b/>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w:t>
      </w:r>
    </w:p>
    <w:p>
      <w:pPr>
        <w:jc w:val="center"/>
        <w:rPr>
          <w:color w:val="auto"/>
          <w:highlight w:val="none"/>
        </w:rPr>
      </w:pP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eastAsia="zh-CN"/>
        </w:rPr>
        <w:t>报告结束</w:t>
      </w:r>
      <w:r>
        <w:rPr>
          <w:rFonts w:hint="default" w:ascii="Times New Roman" w:hAnsi="Times New Roman" w:eastAsia="宋体" w:cs="Times New Roman"/>
          <w:color w:val="auto"/>
          <w:sz w:val="24"/>
          <w:szCs w:val="24"/>
          <w:highlight w:val="none"/>
          <w:lang w:val="en-US" w:eastAsia="zh-CN"/>
        </w:rPr>
        <w:t xml:space="preserve"> **</w:t>
      </w:r>
    </w:p>
    <w:sectPr>
      <w:footerReference r:id="rId4"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eastAsiaTheme="minorEastAsia"/>
        <w:lang w:eastAsia="zh-CN"/>
      </w:rPr>
      <w:drawing>
        <wp:inline distT="0" distB="0" distL="114300" distR="114300">
          <wp:extent cx="887730" cy="438150"/>
          <wp:effectExtent l="0" t="0" r="7620" b="0"/>
          <wp:docPr id="2" name="图片 2" descr="15900397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90039704(1)"/>
                  <pic:cNvPicPr>
                    <a:picLocks noChangeAspect="1"/>
                  </pic:cNvPicPr>
                </pic:nvPicPr>
                <pic:blipFill>
                  <a:blip r:embed="rId1"/>
                  <a:stretch>
                    <a:fillRect/>
                  </a:stretch>
                </pic:blipFill>
                <pic:spPr>
                  <a:xfrm>
                    <a:off x="0" y="0"/>
                    <a:ext cx="887730" cy="4381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FFE339"/>
    <w:multiLevelType w:val="singleLevel"/>
    <w:tmpl w:val="15FFE339"/>
    <w:lvl w:ilvl="0" w:tentative="0">
      <w:start w:val="1"/>
      <w:numFmt w:val="decimal"/>
      <w:suff w:val="nothing"/>
      <w:lvlText w:val="%1、"/>
      <w:lvlJc w:val="left"/>
    </w:lvl>
  </w:abstractNum>
  <w:abstractNum w:abstractNumId="1">
    <w:nsid w:val="791E7FD5"/>
    <w:multiLevelType w:val="singleLevel"/>
    <w:tmpl w:val="791E7FD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YWI1ZDllZjMwYTkxY2UzOWQxNWFiMzZiMGFlOTMifQ=="/>
  </w:docVars>
  <w:rsids>
    <w:rsidRoot w:val="00000000"/>
    <w:rsid w:val="010701B4"/>
    <w:rsid w:val="019738E4"/>
    <w:rsid w:val="019E09F9"/>
    <w:rsid w:val="024E47D3"/>
    <w:rsid w:val="030504B4"/>
    <w:rsid w:val="033C1CD4"/>
    <w:rsid w:val="03D34198"/>
    <w:rsid w:val="05213817"/>
    <w:rsid w:val="058A0174"/>
    <w:rsid w:val="061A2A1E"/>
    <w:rsid w:val="067C4B02"/>
    <w:rsid w:val="06EA385F"/>
    <w:rsid w:val="09C52FAD"/>
    <w:rsid w:val="0C1722FC"/>
    <w:rsid w:val="0D3610BC"/>
    <w:rsid w:val="0E7B07EE"/>
    <w:rsid w:val="0F665A53"/>
    <w:rsid w:val="0F740B9E"/>
    <w:rsid w:val="0F9A346D"/>
    <w:rsid w:val="100634BD"/>
    <w:rsid w:val="108A2388"/>
    <w:rsid w:val="10A73665"/>
    <w:rsid w:val="10E15DF3"/>
    <w:rsid w:val="12CA7F83"/>
    <w:rsid w:val="15D31223"/>
    <w:rsid w:val="15D32EB7"/>
    <w:rsid w:val="1630564C"/>
    <w:rsid w:val="175772DB"/>
    <w:rsid w:val="17B26F26"/>
    <w:rsid w:val="1A066F44"/>
    <w:rsid w:val="1A7075C9"/>
    <w:rsid w:val="1AAB0BB9"/>
    <w:rsid w:val="1C6D045B"/>
    <w:rsid w:val="1C98004D"/>
    <w:rsid w:val="1D8D5B41"/>
    <w:rsid w:val="20B41BC5"/>
    <w:rsid w:val="20C4156B"/>
    <w:rsid w:val="213B04D2"/>
    <w:rsid w:val="21E021EB"/>
    <w:rsid w:val="23323A4B"/>
    <w:rsid w:val="24660352"/>
    <w:rsid w:val="256C638A"/>
    <w:rsid w:val="267A1864"/>
    <w:rsid w:val="26DD5A94"/>
    <w:rsid w:val="2858769A"/>
    <w:rsid w:val="29236810"/>
    <w:rsid w:val="2AFD32CF"/>
    <w:rsid w:val="2B34219F"/>
    <w:rsid w:val="2B3C5143"/>
    <w:rsid w:val="2C5D2A08"/>
    <w:rsid w:val="2D746EF7"/>
    <w:rsid w:val="2F0225B0"/>
    <w:rsid w:val="2F30420C"/>
    <w:rsid w:val="2F91401B"/>
    <w:rsid w:val="303B7198"/>
    <w:rsid w:val="30414C18"/>
    <w:rsid w:val="30604340"/>
    <w:rsid w:val="3289118B"/>
    <w:rsid w:val="33841908"/>
    <w:rsid w:val="33AD55C7"/>
    <w:rsid w:val="342710B0"/>
    <w:rsid w:val="34480E6C"/>
    <w:rsid w:val="347144E8"/>
    <w:rsid w:val="34BD6BF7"/>
    <w:rsid w:val="35944042"/>
    <w:rsid w:val="35D67699"/>
    <w:rsid w:val="35EB1972"/>
    <w:rsid w:val="36331FDA"/>
    <w:rsid w:val="385837FB"/>
    <w:rsid w:val="39FA7143"/>
    <w:rsid w:val="3B4036D2"/>
    <w:rsid w:val="3BCE5815"/>
    <w:rsid w:val="3D7430F2"/>
    <w:rsid w:val="3D8067FE"/>
    <w:rsid w:val="3EA91DBA"/>
    <w:rsid w:val="3EBF42F4"/>
    <w:rsid w:val="3EF912A8"/>
    <w:rsid w:val="3F2D60FA"/>
    <w:rsid w:val="3F4473A4"/>
    <w:rsid w:val="3FEE15C8"/>
    <w:rsid w:val="4020425F"/>
    <w:rsid w:val="405A4F52"/>
    <w:rsid w:val="41F8633F"/>
    <w:rsid w:val="420F48E4"/>
    <w:rsid w:val="42714EB4"/>
    <w:rsid w:val="429E5BDF"/>
    <w:rsid w:val="42BF39DC"/>
    <w:rsid w:val="430B6B84"/>
    <w:rsid w:val="43310EEC"/>
    <w:rsid w:val="44CD522E"/>
    <w:rsid w:val="45F627CF"/>
    <w:rsid w:val="46F02C09"/>
    <w:rsid w:val="497C0D3C"/>
    <w:rsid w:val="49853976"/>
    <w:rsid w:val="49DD60C4"/>
    <w:rsid w:val="4A0D478E"/>
    <w:rsid w:val="4A2362AE"/>
    <w:rsid w:val="4A517B26"/>
    <w:rsid w:val="4ACD31F7"/>
    <w:rsid w:val="4B8F35DB"/>
    <w:rsid w:val="4BC2099E"/>
    <w:rsid w:val="4DB97363"/>
    <w:rsid w:val="4E065717"/>
    <w:rsid w:val="4FDB0777"/>
    <w:rsid w:val="50303CBF"/>
    <w:rsid w:val="507E74DA"/>
    <w:rsid w:val="51F555DF"/>
    <w:rsid w:val="52155CE2"/>
    <w:rsid w:val="527611F3"/>
    <w:rsid w:val="52EC1E9B"/>
    <w:rsid w:val="534D15F3"/>
    <w:rsid w:val="540E0DA2"/>
    <w:rsid w:val="55176681"/>
    <w:rsid w:val="552B528C"/>
    <w:rsid w:val="57414BC1"/>
    <w:rsid w:val="57A87103"/>
    <w:rsid w:val="585D12D9"/>
    <w:rsid w:val="58FA12B2"/>
    <w:rsid w:val="59365358"/>
    <w:rsid w:val="597C7523"/>
    <w:rsid w:val="5AFC004F"/>
    <w:rsid w:val="5B2B313A"/>
    <w:rsid w:val="5B88070B"/>
    <w:rsid w:val="5BAF7FD4"/>
    <w:rsid w:val="5C0C1740"/>
    <w:rsid w:val="5CF05425"/>
    <w:rsid w:val="5D8B52E7"/>
    <w:rsid w:val="5F1C4F39"/>
    <w:rsid w:val="5FA44939"/>
    <w:rsid w:val="5FE20AB4"/>
    <w:rsid w:val="60E370AB"/>
    <w:rsid w:val="62C83B73"/>
    <w:rsid w:val="633D68C2"/>
    <w:rsid w:val="634647C4"/>
    <w:rsid w:val="654E3F8B"/>
    <w:rsid w:val="66773121"/>
    <w:rsid w:val="66F0574C"/>
    <w:rsid w:val="67074387"/>
    <w:rsid w:val="685D409A"/>
    <w:rsid w:val="68E7622F"/>
    <w:rsid w:val="6999217D"/>
    <w:rsid w:val="69DF780A"/>
    <w:rsid w:val="6AAD5C7C"/>
    <w:rsid w:val="6B0C5807"/>
    <w:rsid w:val="6BD864AC"/>
    <w:rsid w:val="6C4A510B"/>
    <w:rsid w:val="6C851557"/>
    <w:rsid w:val="6CBD4D4F"/>
    <w:rsid w:val="70A94143"/>
    <w:rsid w:val="723973EC"/>
    <w:rsid w:val="72C936E0"/>
    <w:rsid w:val="75252778"/>
    <w:rsid w:val="7659061D"/>
    <w:rsid w:val="7824677C"/>
    <w:rsid w:val="785452DC"/>
    <w:rsid w:val="78AB372E"/>
    <w:rsid w:val="7CD44912"/>
    <w:rsid w:val="7D7D4BCE"/>
    <w:rsid w:val="7E5F3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szCs w:val="44"/>
    </w:rPr>
  </w:style>
  <w:style w:type="paragraph" w:styleId="4">
    <w:name w:val="heading 3"/>
    <w:basedOn w:val="1"/>
    <w:next w:val="1"/>
    <w:link w:val="30"/>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styleId="5">
    <w:name w:val="Body Text"/>
    <w:basedOn w:val="1"/>
    <w:next w:val="6"/>
    <w:qFormat/>
    <w:uiPriority w:val="0"/>
    <w:pPr>
      <w:autoSpaceDE w:val="0"/>
      <w:autoSpaceDN w:val="0"/>
      <w:adjustRightInd w:val="0"/>
      <w:jc w:val="center"/>
    </w:pPr>
    <w:rPr>
      <w:rFonts w:ascii="楷体_GB2312" w:hAnsi="Times New Roman" w:eastAsia="楷体_GB2312" w:cs="Times New Roman"/>
      <w:color w:val="000000"/>
      <w:kern w:val="0"/>
      <w:sz w:val="24"/>
      <w:szCs w:val="21"/>
    </w:r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Body Text Indent"/>
    <w:basedOn w:val="1"/>
    <w:qFormat/>
    <w:uiPriority w:val="0"/>
    <w:pPr>
      <w:ind w:firstLine="640" w:firstLineChars="200"/>
    </w:pPr>
    <w:rPr>
      <w:rFonts w:ascii="仿宋_GB2312" w:eastAsia="仿宋_GB2312"/>
      <w:kern w:val="0"/>
      <w:sz w:val="32"/>
      <w:szCs w:val="20"/>
    </w:rPr>
  </w:style>
  <w:style w:type="paragraph" w:styleId="8">
    <w:name w:val="Body Text Indent 2"/>
    <w:basedOn w:val="1"/>
    <w:next w:val="9"/>
    <w:qFormat/>
    <w:uiPriority w:val="0"/>
    <w:pPr>
      <w:spacing w:after="120" w:line="480" w:lineRule="auto"/>
      <w:ind w:left="420"/>
    </w:pPr>
  </w:style>
  <w:style w:type="paragraph" w:styleId="9">
    <w:name w:val="Body Text First Indent"/>
    <w:basedOn w:val="5"/>
    <w:next w:val="1"/>
    <w:unhideWhenUsed/>
    <w:qFormat/>
    <w:uiPriority w:val="99"/>
    <w:pPr>
      <w:ind w:firstLine="420" w:firstLineChars="1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qFormat/>
    <w:uiPriority w:val="0"/>
    <w:pPr>
      <w:spacing w:after="120" w:line="480" w:lineRule="auto"/>
    </w:pPr>
  </w:style>
  <w:style w:type="paragraph" w:styleId="13">
    <w:name w:val="Title"/>
    <w:basedOn w:val="1"/>
    <w:next w:val="1"/>
    <w:qFormat/>
    <w:uiPriority w:val="0"/>
    <w:pPr>
      <w:spacing w:before="240" w:after="60"/>
      <w:jc w:val="center"/>
      <w:outlineLvl w:val="0"/>
    </w:pPr>
    <w:rPr>
      <w:rFonts w:ascii="等线 Light" w:hAnsi="等线 Light" w:cs="Times New Roman"/>
      <w:b/>
      <w:bCs/>
      <w:sz w:val="32"/>
      <w:szCs w:val="32"/>
    </w:rPr>
  </w:style>
  <w:style w:type="paragraph" w:styleId="14">
    <w:name w:val="Body Text First Indent 2"/>
    <w:basedOn w:val="7"/>
    <w:qFormat/>
    <w:uiPriority w:val="0"/>
    <w:pPr>
      <w:spacing w:after="120"/>
      <w:ind w:left="420" w:leftChars="200" w:firstLine="420"/>
    </w:pPr>
    <w:rPr>
      <w:sz w:val="21"/>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TML Sample"/>
    <w:qFormat/>
    <w:uiPriority w:val="0"/>
    <w:rPr>
      <w:rFonts w:ascii="Courier New" w:hAnsi="Courier New" w:eastAsia="仿宋" w:cs="Courier New"/>
      <w:sz w:val="24"/>
    </w:rPr>
  </w:style>
  <w:style w:type="paragraph" w:customStyle="1" w:styleId="19">
    <w:name w:val="样式 样式 左侧:  2 字符 + 左侧:  0.85 厘米 首行缩进:  2 字符1"/>
    <w:basedOn w:val="1"/>
    <w:qFormat/>
    <w:uiPriority w:val="0"/>
    <w:pPr>
      <w:ind w:left="482" w:firstLine="200" w:firstLineChars="200"/>
    </w:pPr>
    <w:rPr>
      <w:rFonts w:ascii="Times New Roman" w:hAnsi="Times New Roman"/>
      <w:szCs w:val="20"/>
    </w:rPr>
  </w:style>
  <w:style w:type="paragraph" w:customStyle="1" w:styleId="20">
    <w:name w:val="Other|1"/>
    <w:basedOn w:val="1"/>
    <w:qFormat/>
    <w:uiPriority w:val="0"/>
    <w:pPr>
      <w:widowControl w:val="0"/>
      <w:shd w:val="clear" w:color="auto" w:fill="auto"/>
      <w:spacing w:after="60" w:line="326" w:lineRule="auto"/>
      <w:ind w:firstLine="400"/>
    </w:pPr>
    <w:rPr>
      <w:rFonts w:ascii="宋体" w:hAnsi="宋体" w:eastAsia="宋体" w:cs="宋体"/>
      <w:sz w:val="20"/>
      <w:szCs w:val="20"/>
      <w:u w:val="none"/>
      <w:shd w:val="clear" w:color="auto" w:fill="auto"/>
      <w:lang w:val="zh-TW" w:eastAsia="zh-TW" w:bidi="zh-TW"/>
    </w:rPr>
  </w:style>
  <w:style w:type="paragraph" w:customStyle="1" w:styleId="21">
    <w:name w:val="Body text|4"/>
    <w:basedOn w:val="1"/>
    <w:qFormat/>
    <w:uiPriority w:val="0"/>
    <w:pPr>
      <w:widowControl w:val="0"/>
      <w:shd w:val="clear" w:color="auto" w:fill="auto"/>
      <w:spacing w:after="180"/>
      <w:ind w:firstLine="360"/>
    </w:pPr>
    <w:rPr>
      <w:rFonts w:ascii="宋体" w:hAnsi="宋体" w:eastAsia="宋体" w:cs="宋体"/>
      <w:sz w:val="17"/>
      <w:szCs w:val="17"/>
      <w:u w:val="none"/>
      <w:shd w:val="clear" w:color="auto" w:fill="auto"/>
      <w:lang w:val="zh-TW" w:eastAsia="zh-TW" w:bidi="zh-TW"/>
    </w:rPr>
  </w:style>
  <w:style w:type="character" w:customStyle="1" w:styleId="22">
    <w:name w:val="font11"/>
    <w:basedOn w:val="17"/>
    <w:qFormat/>
    <w:uiPriority w:val="0"/>
    <w:rPr>
      <w:rFonts w:hint="eastAsia" w:ascii="宋体" w:hAnsi="宋体" w:eastAsia="宋体" w:cs="宋体"/>
      <w:color w:val="000000"/>
      <w:sz w:val="22"/>
      <w:szCs w:val="22"/>
      <w:u w:val="none"/>
    </w:rPr>
  </w:style>
  <w:style w:type="character" w:customStyle="1" w:styleId="23">
    <w:name w:val="font21"/>
    <w:basedOn w:val="17"/>
    <w:qFormat/>
    <w:uiPriority w:val="0"/>
    <w:rPr>
      <w:rFonts w:hint="eastAsia" w:ascii="宋体" w:hAnsi="宋体" w:eastAsia="宋体" w:cs="宋体"/>
      <w:b/>
      <w:bCs/>
      <w:color w:val="000000"/>
      <w:sz w:val="22"/>
      <w:szCs w:val="22"/>
      <w:u w:val="none"/>
    </w:rPr>
  </w:style>
  <w:style w:type="character" w:customStyle="1" w:styleId="24">
    <w:name w:val="font31"/>
    <w:basedOn w:val="17"/>
    <w:qFormat/>
    <w:uiPriority w:val="0"/>
    <w:rPr>
      <w:rFonts w:hint="default" w:ascii="Times New Roman" w:hAnsi="Times New Roman" w:cs="Times New Roman"/>
      <w:b/>
      <w:bCs/>
      <w:color w:val="000000"/>
      <w:sz w:val="22"/>
      <w:szCs w:val="22"/>
      <w:u w:val="none"/>
    </w:rPr>
  </w:style>
  <w:style w:type="character" w:customStyle="1" w:styleId="25">
    <w:name w:val="font41"/>
    <w:basedOn w:val="17"/>
    <w:qFormat/>
    <w:uiPriority w:val="0"/>
    <w:rPr>
      <w:rFonts w:hint="eastAsia" w:ascii="宋体" w:hAnsi="宋体" w:eastAsia="宋体" w:cs="宋体"/>
      <w:b/>
      <w:bCs/>
      <w:color w:val="000000"/>
      <w:sz w:val="22"/>
      <w:szCs w:val="22"/>
      <w:u w:val="none"/>
    </w:rPr>
  </w:style>
  <w:style w:type="character" w:customStyle="1" w:styleId="26">
    <w:name w:val="font51"/>
    <w:basedOn w:val="17"/>
    <w:qFormat/>
    <w:uiPriority w:val="0"/>
    <w:rPr>
      <w:rFonts w:hint="eastAsia" w:ascii="宋体" w:hAnsi="宋体" w:eastAsia="宋体" w:cs="宋体"/>
      <w:b/>
      <w:bCs/>
      <w:color w:val="FF0000"/>
      <w:sz w:val="22"/>
      <w:szCs w:val="22"/>
      <w:u w:val="none"/>
    </w:rPr>
  </w:style>
  <w:style w:type="character" w:customStyle="1" w:styleId="27">
    <w:name w:val="font01"/>
    <w:basedOn w:val="17"/>
    <w:qFormat/>
    <w:uiPriority w:val="0"/>
    <w:rPr>
      <w:rFonts w:hint="default" w:ascii="Times New Roman" w:hAnsi="Times New Roman" w:cs="Times New Roman"/>
      <w:b/>
      <w:bCs/>
      <w:color w:val="FF0000"/>
      <w:sz w:val="22"/>
      <w:szCs w:val="22"/>
      <w:u w:val="none"/>
    </w:rPr>
  </w:style>
  <w:style w:type="character" w:customStyle="1" w:styleId="28">
    <w:name w:val="font71"/>
    <w:basedOn w:val="17"/>
    <w:qFormat/>
    <w:uiPriority w:val="0"/>
    <w:rPr>
      <w:rFonts w:hint="default" w:ascii="Times New Roman" w:hAnsi="Times New Roman" w:cs="Times New Roman"/>
      <w:b/>
      <w:bCs/>
      <w:color w:val="000000"/>
      <w:sz w:val="24"/>
      <w:szCs w:val="24"/>
      <w:u w:val="none"/>
    </w:rPr>
  </w:style>
  <w:style w:type="character" w:customStyle="1" w:styleId="29">
    <w:name w:val="font91"/>
    <w:basedOn w:val="17"/>
    <w:qFormat/>
    <w:uiPriority w:val="0"/>
    <w:rPr>
      <w:rFonts w:hint="eastAsia" w:ascii="宋体" w:hAnsi="宋体" w:eastAsia="宋体" w:cs="宋体"/>
      <w:b/>
      <w:bCs/>
      <w:color w:val="000000"/>
      <w:sz w:val="24"/>
      <w:szCs w:val="24"/>
      <w:u w:val="none"/>
    </w:rPr>
  </w:style>
  <w:style w:type="character" w:customStyle="1" w:styleId="30">
    <w:name w:val="标题 3 Char"/>
    <w:link w:val="4"/>
    <w:qFormat/>
    <w:uiPriority w:val="0"/>
    <w:rPr>
      <w:b/>
      <w:sz w:val="32"/>
    </w:rPr>
  </w:style>
  <w:style w:type="character" w:customStyle="1" w:styleId="31">
    <w:name w:val="font81"/>
    <w:basedOn w:val="17"/>
    <w:qFormat/>
    <w:uiPriority w:val="0"/>
    <w:rPr>
      <w:rFonts w:hint="eastAsia" w:ascii="宋体" w:hAnsi="宋体" w:eastAsia="宋体" w:cs="宋体"/>
      <w:b/>
      <w:bCs/>
      <w:color w:val="000000"/>
      <w:sz w:val="22"/>
      <w:szCs w:val="22"/>
      <w:u w:val="none"/>
    </w:rPr>
  </w:style>
  <w:style w:type="paragraph" w:customStyle="1" w:styleId="32">
    <w:name w:val="_Style 4"/>
    <w:next w:val="1"/>
    <w:qFormat/>
    <w:uiPriority w:val="1"/>
    <w:pPr>
      <w:widowControl w:val="0"/>
      <w:jc w:val="both"/>
    </w:pPr>
    <w:rPr>
      <w:rFonts w:ascii="Times New Roman" w:hAnsi="Times New Roman" w:eastAsia="仿宋_GB2312"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15907</Words>
  <Characters>28152</Characters>
  <Lines>0</Lines>
  <Paragraphs>0</Paragraphs>
  <TotalTime>0</TotalTime>
  <ScaleCrop>false</ScaleCrop>
  <LinksUpToDate>false</LinksUpToDate>
  <CharactersWithSpaces>28307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2021-03-01T02:10:00Z</dcterms:created>
  <dc:creator>Administrator</dc:creator>
  <cp:lastModifiedBy>╮勾勾手◇◆</cp:lastModifiedBy>
  <cp:lastPrinted>2023-04-07T01:01:00Z</cp:lastPrinted>
  <dcterms:modified xsi:type="dcterms:W3CDTF">2024-03-30T07:31:23Z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996143FFD8C34E99AFB7C894977A6B31</vt:lpwstr>
  </property>
  <property fmtid="{D5CDD505-2E9C-101B-9397-08002B2CF9AE}" pid="4" name="commondata">
    <vt:lpwstr>eyJoZGlkIjoiZTY5YWI1ZDllZjMwYTkxY2UzOWQxNWFiMzZiMGFlOTMifQ==</vt:lpwstr>
  </property>
</Properties>
</file>